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462B3E" w:rsidRPr="00462B3E" w:rsidRDefault="00462B3E" w:rsidP="00462B3E">
      <w:pPr>
        <w:ind w:right="-1" w:firstLine="567"/>
        <w:jc w:val="both"/>
        <w:rPr>
          <w:rFonts w:ascii="Segoe UI" w:hAnsi="Segoe UI" w:cs="Segoe UI"/>
          <w:szCs w:val="24"/>
        </w:rPr>
      </w:pPr>
    </w:p>
    <w:p w:rsidR="007B1ACB" w:rsidRDefault="007B1ACB" w:rsidP="007B1ACB">
      <w:pPr>
        <w:ind w:right="-1" w:firstLine="567"/>
        <w:jc w:val="center"/>
        <w:rPr>
          <w:rFonts w:ascii="Segoe UI" w:hAnsi="Segoe UI" w:cs="Segoe UI"/>
          <w:b/>
          <w:sz w:val="28"/>
          <w:szCs w:val="28"/>
        </w:rPr>
      </w:pPr>
      <w:r w:rsidRPr="007B1ACB">
        <w:rPr>
          <w:rFonts w:ascii="Segoe UI" w:hAnsi="Segoe UI" w:cs="Segoe UI"/>
          <w:b/>
          <w:sz w:val="28"/>
          <w:szCs w:val="28"/>
        </w:rPr>
        <w:t>Закон о «гаражной амнистии»</w:t>
      </w:r>
    </w:p>
    <w:p w:rsidR="007B1ACB" w:rsidRPr="007B1ACB" w:rsidRDefault="007B1ACB" w:rsidP="007B1ACB">
      <w:pPr>
        <w:ind w:right="-1" w:firstLine="567"/>
        <w:jc w:val="center"/>
        <w:rPr>
          <w:rFonts w:ascii="Segoe UI" w:hAnsi="Segoe UI" w:cs="Segoe UI"/>
          <w:b/>
          <w:sz w:val="28"/>
          <w:szCs w:val="28"/>
        </w:rPr>
      </w:pPr>
    </w:p>
    <w:p w:rsidR="00462B3E" w:rsidRPr="00462B3E" w:rsidRDefault="00462B3E" w:rsidP="00462B3E">
      <w:pPr>
        <w:ind w:right="-1" w:firstLine="567"/>
        <w:jc w:val="both"/>
        <w:rPr>
          <w:rFonts w:ascii="Segoe UI" w:hAnsi="Segoe UI" w:cs="Segoe UI"/>
          <w:szCs w:val="24"/>
        </w:rPr>
      </w:pPr>
      <w:r w:rsidRPr="00462B3E">
        <w:rPr>
          <w:rFonts w:ascii="Segoe UI" w:hAnsi="Segoe UI" w:cs="Segoe UI"/>
          <w:szCs w:val="24"/>
        </w:rPr>
        <w:t xml:space="preserve">В сентябре прошлого года вступил в силу Закон о «гаражной амнистии». Действие данного Закона, прежде всего, распространяется на капитальные сооружения – гаражи, возведенные до 30 декабря 2004 года (до введения в действие Градостроительного кодекса Российской Федерации). </w:t>
      </w:r>
    </w:p>
    <w:p w:rsidR="00462B3E" w:rsidRPr="00462B3E" w:rsidRDefault="00462B3E" w:rsidP="00462B3E">
      <w:pPr>
        <w:ind w:right="-1" w:firstLine="567"/>
        <w:jc w:val="both"/>
        <w:rPr>
          <w:rFonts w:ascii="Segoe UI" w:hAnsi="Segoe UI" w:cs="Segoe UI"/>
          <w:i/>
          <w:szCs w:val="24"/>
        </w:rPr>
      </w:pPr>
      <w:r w:rsidRPr="00462B3E">
        <w:rPr>
          <w:rFonts w:ascii="Segoe UI" w:hAnsi="Segoe UI" w:cs="Segoe UI"/>
          <w:szCs w:val="24"/>
        </w:rPr>
        <w:t xml:space="preserve">Чтобы оформить такой гараж в собственность граждане должны обратиться в орган местного самоуправления, если речь идет о предоставлении земельного участка из муниципальной собственности, или орган государственной власти субъекта с целью предоставления земельного участка из </w:t>
      </w:r>
      <w:proofErr w:type="spellStart"/>
      <w:r w:rsidRPr="00462B3E">
        <w:rPr>
          <w:rFonts w:ascii="Segoe UI" w:hAnsi="Segoe UI" w:cs="Segoe UI"/>
          <w:szCs w:val="24"/>
        </w:rPr>
        <w:t>неразграниченной</w:t>
      </w:r>
      <w:proofErr w:type="spellEnd"/>
      <w:r w:rsidRPr="00462B3E">
        <w:rPr>
          <w:rFonts w:ascii="Segoe UI" w:hAnsi="Segoe UI" w:cs="Segoe UI"/>
          <w:szCs w:val="24"/>
        </w:rPr>
        <w:t xml:space="preserve"> государственной собственности, с заявлением о предоставлении земельного участка </w:t>
      </w:r>
      <w:proofErr w:type="gramStart"/>
      <w:r w:rsidRPr="00462B3E">
        <w:rPr>
          <w:rFonts w:ascii="Segoe UI" w:hAnsi="Segoe UI" w:cs="Segoe UI"/>
          <w:szCs w:val="24"/>
        </w:rPr>
        <w:t>под</w:t>
      </w:r>
      <w:proofErr w:type="gramEnd"/>
      <w:r w:rsidRPr="00462B3E">
        <w:rPr>
          <w:rFonts w:ascii="Segoe UI" w:hAnsi="Segoe UI" w:cs="Segoe UI"/>
          <w:szCs w:val="24"/>
        </w:rPr>
        <w:t xml:space="preserve"> существующим гаражом с приложением документа, который подтверждает факт владения гаражом. Заявление об осуществлении кадастрового учета и регистрации права собственности на земельный участок и гараж представляется соответствующим органом власти.</w:t>
      </w:r>
    </w:p>
    <w:p w:rsidR="00462B3E" w:rsidRPr="00462B3E" w:rsidRDefault="00462B3E" w:rsidP="00462B3E">
      <w:pPr>
        <w:pStyle w:val="ac"/>
        <w:spacing w:beforeAutospacing="0" w:afterAutospacing="0"/>
        <w:ind w:firstLine="567"/>
        <w:jc w:val="both"/>
        <w:rPr>
          <w:rFonts w:ascii="Segoe UI" w:hAnsi="Segoe UI" w:cs="Segoe UI"/>
          <w:szCs w:val="24"/>
        </w:rPr>
      </w:pPr>
      <w:r w:rsidRPr="00462B3E">
        <w:rPr>
          <w:rFonts w:ascii="Segoe UI" w:hAnsi="Segoe UI" w:cs="Segoe UI"/>
          <w:szCs w:val="24"/>
        </w:rPr>
        <w:t>«Гаражная амнистия» также распространяется на наследников граждан, получивших или построивших гараж до 30.12.2004, а также граждан, которые приобрели гараж по соглашению, в том числе по возмездным сделкам.</w:t>
      </w:r>
    </w:p>
    <w:p w:rsidR="00462B3E" w:rsidRPr="00462B3E" w:rsidRDefault="00462B3E" w:rsidP="00462B3E">
      <w:pPr>
        <w:ind w:right="-1" w:firstLine="567"/>
        <w:jc w:val="both"/>
        <w:rPr>
          <w:rFonts w:ascii="Segoe UI" w:hAnsi="Segoe UI" w:cs="Segoe UI"/>
          <w:szCs w:val="24"/>
        </w:rPr>
      </w:pPr>
      <w:r w:rsidRPr="00462B3E">
        <w:rPr>
          <w:rFonts w:ascii="Segoe UI" w:hAnsi="Segoe UI" w:cs="Segoe UI"/>
          <w:szCs w:val="24"/>
        </w:rPr>
        <w:t xml:space="preserve">Закон устанавливает перечень необходимых документов. </w:t>
      </w:r>
    </w:p>
    <w:p w:rsidR="00462B3E" w:rsidRPr="00462B3E" w:rsidRDefault="00462B3E" w:rsidP="00462B3E">
      <w:pPr>
        <w:ind w:right="-1" w:firstLine="567"/>
        <w:jc w:val="both"/>
        <w:rPr>
          <w:rFonts w:ascii="Segoe UI" w:hAnsi="Segoe UI" w:cs="Segoe UI"/>
          <w:szCs w:val="24"/>
        </w:rPr>
      </w:pPr>
      <w:r w:rsidRPr="00462B3E">
        <w:rPr>
          <w:rFonts w:ascii="Segoe UI" w:hAnsi="Segoe UI" w:cs="Segoe UI"/>
          <w:szCs w:val="24"/>
        </w:rPr>
        <w:t>Например, такими документами могут являться:</w:t>
      </w:r>
    </w:p>
    <w:p w:rsidR="00462B3E" w:rsidRPr="00462B3E" w:rsidRDefault="00462B3E" w:rsidP="00462B3E">
      <w:pPr>
        <w:ind w:right="-1" w:firstLine="567"/>
        <w:jc w:val="both"/>
        <w:rPr>
          <w:rFonts w:ascii="Segoe UI" w:hAnsi="Segoe UI" w:cs="Segoe UI"/>
          <w:szCs w:val="24"/>
        </w:rPr>
      </w:pPr>
      <w:r w:rsidRPr="00462B3E">
        <w:rPr>
          <w:rFonts w:ascii="Segoe UI" w:hAnsi="Segoe UI" w:cs="Segoe UI"/>
          <w:szCs w:val="24"/>
        </w:rPr>
        <w:t xml:space="preserve">- документы, подтверждающие предоставление или иное выделение земельного участка гаражному кооперативу либо иной организации и документы, выданные гаражным кооперативом, подтверждающие выплату гражданином пая (паевого взноса); </w:t>
      </w:r>
    </w:p>
    <w:p w:rsidR="00462B3E" w:rsidRPr="00462B3E" w:rsidRDefault="00462B3E" w:rsidP="00462B3E">
      <w:pPr>
        <w:ind w:right="-1" w:firstLine="567"/>
        <w:jc w:val="both"/>
        <w:rPr>
          <w:rFonts w:ascii="Segoe UI" w:hAnsi="Segoe UI" w:cs="Segoe UI"/>
          <w:szCs w:val="24"/>
        </w:rPr>
      </w:pPr>
      <w:r w:rsidRPr="00462B3E">
        <w:rPr>
          <w:rFonts w:ascii="Segoe UI" w:hAnsi="Segoe UI" w:cs="Segoe UI"/>
          <w:szCs w:val="24"/>
        </w:rPr>
        <w:t>- заключенные до 30.12.2004 договор о подключении (технологическом присоединении) гаража к сетям инженерно-технического обеспечения и (или) документы, подтверждающие исполнение со стороны гражданина обязательств по оплате коммунальных услуг;</w:t>
      </w:r>
    </w:p>
    <w:p w:rsidR="00462B3E" w:rsidRPr="00462B3E" w:rsidRDefault="00462B3E" w:rsidP="00462B3E">
      <w:pPr>
        <w:ind w:right="-1" w:firstLine="567"/>
        <w:jc w:val="both"/>
        <w:rPr>
          <w:rFonts w:ascii="Segoe UI" w:hAnsi="Segoe UI" w:cs="Segoe UI"/>
          <w:szCs w:val="24"/>
        </w:rPr>
      </w:pPr>
      <w:r w:rsidRPr="00462B3E">
        <w:rPr>
          <w:rFonts w:ascii="Segoe UI" w:hAnsi="Segoe UI" w:cs="Segoe UI"/>
          <w:szCs w:val="24"/>
        </w:rPr>
        <w:t xml:space="preserve">- документ, подтверждающий проведение государственного технического учета и (или) технической инвентаризации гаража до 01.01.2013, в котором имеются указания, что гараж построен до 30.12.2004. </w:t>
      </w:r>
    </w:p>
    <w:p w:rsidR="00462B3E" w:rsidRPr="00462B3E" w:rsidRDefault="00462B3E" w:rsidP="00462B3E">
      <w:pPr>
        <w:ind w:right="-1" w:firstLine="567"/>
        <w:jc w:val="both"/>
        <w:rPr>
          <w:rFonts w:ascii="Segoe UI" w:hAnsi="Segoe UI" w:cs="Segoe UI"/>
          <w:i/>
          <w:szCs w:val="24"/>
        </w:rPr>
      </w:pPr>
      <w:r w:rsidRPr="00462B3E">
        <w:rPr>
          <w:rFonts w:ascii="Segoe UI" w:hAnsi="Segoe UI" w:cs="Segoe UI"/>
          <w:szCs w:val="24"/>
        </w:rPr>
        <w:t>Законом о гаражной амнистии предусмотрена возможность оформления прав граждан на земельные участки под некапитальными сооружениями – металлическими гаражами, если земля под ними была выделена гаражному или гаражно-строительному кооперативу на праве постоянного (бессрочного) пользования под размещение таких гаражей.</w:t>
      </w:r>
    </w:p>
    <w:p w:rsidR="007B1ACB" w:rsidRDefault="00462B3E" w:rsidP="00462B3E">
      <w:pPr>
        <w:ind w:right="-1" w:firstLine="567"/>
        <w:jc w:val="both"/>
        <w:rPr>
          <w:rFonts w:ascii="Segoe UI" w:hAnsi="Segoe UI" w:cs="Segoe UI"/>
          <w:szCs w:val="24"/>
        </w:rPr>
      </w:pPr>
      <w:r w:rsidRPr="00462B3E">
        <w:rPr>
          <w:rFonts w:ascii="Segoe UI" w:hAnsi="Segoe UI" w:cs="Segoe UI"/>
          <w:szCs w:val="24"/>
        </w:rPr>
        <w:t>Предусмотрены положения, касающиеся возведения гаражей, являющихся некапитальными сооружениями, либо предназначенных для стоянки технических сре</w:t>
      </w:r>
      <w:proofErr w:type="gramStart"/>
      <w:r w:rsidRPr="00462B3E">
        <w:rPr>
          <w:rFonts w:ascii="Segoe UI" w:hAnsi="Segoe UI" w:cs="Segoe UI"/>
          <w:szCs w:val="24"/>
        </w:rPr>
        <w:t>дств дл</w:t>
      </w:r>
      <w:proofErr w:type="gramEnd"/>
      <w:r w:rsidRPr="00462B3E">
        <w:rPr>
          <w:rFonts w:ascii="Segoe UI" w:hAnsi="Segoe UI" w:cs="Segoe UI"/>
          <w:szCs w:val="24"/>
        </w:rPr>
        <w:t xml:space="preserve">я определенных категорий граждан вблизи их места жительства. Такое использование земельных участков осуществляется на основании схемы размещения таких объектов недвижимости без предоставления земельного участка и установления </w:t>
      </w:r>
    </w:p>
    <w:p w:rsidR="007B1ACB" w:rsidRDefault="007B1ACB" w:rsidP="007B1ACB">
      <w:pPr>
        <w:ind w:right="-1"/>
        <w:jc w:val="both"/>
        <w:rPr>
          <w:rFonts w:ascii="Segoe UI" w:hAnsi="Segoe UI" w:cs="Segoe UI"/>
          <w:szCs w:val="24"/>
        </w:rPr>
      </w:pPr>
    </w:p>
    <w:p w:rsidR="00462B3E" w:rsidRPr="00462B3E" w:rsidRDefault="00462B3E" w:rsidP="007B1ACB">
      <w:pPr>
        <w:ind w:right="-1"/>
        <w:jc w:val="both"/>
        <w:rPr>
          <w:rFonts w:ascii="Segoe UI" w:hAnsi="Segoe UI" w:cs="Segoe UI"/>
          <w:szCs w:val="24"/>
        </w:rPr>
      </w:pPr>
      <w:r w:rsidRPr="00462B3E">
        <w:rPr>
          <w:rFonts w:ascii="Segoe UI" w:hAnsi="Segoe UI" w:cs="Segoe UI"/>
          <w:szCs w:val="24"/>
        </w:rPr>
        <w:t xml:space="preserve">сервитута. Региональные власти могут определять категории льготников, которые имеют право на бесплатное использование земли для размещения таких объектов. </w:t>
      </w:r>
    </w:p>
    <w:p w:rsidR="00462B3E" w:rsidRDefault="00462B3E" w:rsidP="00462B3E">
      <w:pPr>
        <w:autoSpaceDE w:val="0"/>
        <w:autoSpaceDN w:val="0"/>
        <w:adjustRightInd w:val="0"/>
        <w:ind w:firstLine="567"/>
        <w:jc w:val="both"/>
        <w:rPr>
          <w:rFonts w:ascii="Segoe UI" w:hAnsi="Segoe UI" w:cs="Segoe UI"/>
          <w:b/>
          <w:szCs w:val="24"/>
        </w:rPr>
      </w:pPr>
    </w:p>
    <w:p w:rsidR="00462B3E" w:rsidRPr="00462B3E" w:rsidRDefault="00462B3E" w:rsidP="00462B3E">
      <w:pPr>
        <w:autoSpaceDE w:val="0"/>
        <w:autoSpaceDN w:val="0"/>
        <w:adjustRightInd w:val="0"/>
        <w:ind w:firstLine="567"/>
        <w:jc w:val="both"/>
        <w:rPr>
          <w:rFonts w:ascii="Segoe UI" w:hAnsi="Segoe UI" w:cs="Segoe UI"/>
          <w:b/>
          <w:szCs w:val="24"/>
        </w:rPr>
      </w:pPr>
      <w:r w:rsidRPr="00462B3E">
        <w:rPr>
          <w:rFonts w:ascii="Segoe UI" w:hAnsi="Segoe UI" w:cs="Segoe UI"/>
          <w:b/>
          <w:szCs w:val="24"/>
        </w:rPr>
        <w:t xml:space="preserve">Руководитель Управления Анна Кондратьева отмечает: «Управлением Росреестра по Республике Карелия на постоянной основе ведется работа, направленная на реализацию Закона о «гаражной амнистии». В республике был осуществлен кадастровый учет 23 земельных участков под гаражами общей площадью 805 кв.м. В декабре прошлого года принят региональный закон, по которому граждане могут также </w:t>
      </w:r>
      <w:bookmarkStart w:id="0" w:name="_GoBack"/>
      <w:bookmarkEnd w:id="0"/>
      <w:r w:rsidRPr="00462B3E">
        <w:rPr>
          <w:rFonts w:ascii="Segoe UI" w:hAnsi="Segoe UI" w:cs="Segoe UI"/>
          <w:b/>
          <w:szCs w:val="24"/>
        </w:rPr>
        <w:t>предоставить решение суда, которым установлен факт возведения гаража до 30</w:t>
      </w:r>
      <w:r w:rsidR="008D45FC">
        <w:rPr>
          <w:rFonts w:ascii="Segoe UI" w:hAnsi="Segoe UI" w:cs="Segoe UI"/>
          <w:b/>
          <w:szCs w:val="24"/>
        </w:rPr>
        <w:t>.12.</w:t>
      </w:r>
      <w:r w:rsidRPr="00462B3E">
        <w:rPr>
          <w:rFonts w:ascii="Segoe UI" w:hAnsi="Segoe UI" w:cs="Segoe UI"/>
          <w:b/>
          <w:szCs w:val="24"/>
        </w:rPr>
        <w:t>2004».</w:t>
      </w:r>
    </w:p>
    <w:p w:rsidR="00332941" w:rsidRDefault="00332941" w:rsidP="00462B3E">
      <w:pPr>
        <w:jc w:val="both"/>
        <w:rPr>
          <w:rFonts w:ascii="Segoe UI" w:hAnsi="Segoe UI"/>
          <w:b/>
          <w:sz w:val="18"/>
        </w:rPr>
      </w:pPr>
    </w:p>
    <w:p w:rsidR="00332941" w:rsidRDefault="00332941">
      <w:pPr>
        <w:jc w:val="both"/>
        <w:rPr>
          <w:rFonts w:ascii="Segoe UI" w:hAnsi="Segoe UI"/>
          <w:b/>
          <w:sz w:val="18"/>
        </w:rPr>
      </w:pPr>
    </w:p>
    <w:p w:rsidR="00AE12D6" w:rsidRDefault="00AE12D6">
      <w:pPr>
        <w:jc w:val="both"/>
        <w:rPr>
          <w:rFonts w:ascii="Segoe UI" w:hAnsi="Segoe UI"/>
          <w:b/>
          <w:sz w:val="18"/>
        </w:rPr>
      </w:pPr>
    </w:p>
    <w:p w:rsidR="00BA3EDF" w:rsidRDefault="00BA3EDF" w:rsidP="00BA3EDF">
      <w:pPr>
        <w:widowControl w:val="0"/>
        <w:shd w:val="clear" w:color="auto" w:fill="FFFFFF"/>
        <w:ind w:right="-1" w:firstLine="567"/>
        <w:jc w:val="right"/>
        <w:outlineLvl w:val="0"/>
        <w:rPr>
          <w:rFonts w:ascii="Segoe UI" w:eastAsia="Calibri" w:hAnsi="Segoe UI" w:cs="Segoe UI"/>
          <w:sz w:val="22"/>
          <w:szCs w:val="22"/>
        </w:rPr>
      </w:pPr>
    </w:p>
    <w:p w:rsidR="00BA3EDF" w:rsidRPr="00B11A33" w:rsidRDefault="00BA3EDF" w:rsidP="00BA3EDF">
      <w:pPr>
        <w:widowControl w:val="0"/>
        <w:shd w:val="clear" w:color="auto" w:fill="FFFFFF"/>
        <w:ind w:right="-1" w:firstLine="567"/>
        <w:jc w:val="right"/>
        <w:outlineLvl w:val="0"/>
        <w:rPr>
          <w:rFonts w:ascii="Segoe UI" w:eastAsia="Calibri" w:hAnsi="Segoe UI" w:cs="Segoe UI"/>
          <w:sz w:val="22"/>
          <w:szCs w:val="22"/>
        </w:rPr>
      </w:pPr>
      <w:r w:rsidRPr="00B11A33">
        <w:rPr>
          <w:rFonts w:ascii="Segoe UI" w:eastAsia="Calibri" w:hAnsi="Segoe UI" w:cs="Segoe UI"/>
          <w:sz w:val="22"/>
          <w:szCs w:val="22"/>
        </w:rPr>
        <w:t xml:space="preserve">Материал подготовлен пресс-службой </w:t>
      </w:r>
    </w:p>
    <w:p w:rsidR="00BA3EDF" w:rsidRPr="00B11A33" w:rsidRDefault="00BA3EDF" w:rsidP="00BA3EDF">
      <w:pPr>
        <w:widowControl w:val="0"/>
        <w:shd w:val="clear" w:color="auto" w:fill="FFFFFF"/>
        <w:ind w:right="-1" w:firstLine="567"/>
        <w:jc w:val="right"/>
        <w:outlineLvl w:val="0"/>
        <w:rPr>
          <w:rFonts w:ascii="Segoe UI" w:eastAsia="Calibri" w:hAnsi="Segoe UI" w:cs="Segoe UI"/>
          <w:sz w:val="22"/>
          <w:szCs w:val="22"/>
        </w:rPr>
      </w:pPr>
      <w:r w:rsidRPr="00B11A33">
        <w:rPr>
          <w:rFonts w:ascii="Segoe UI" w:eastAsia="Calibri" w:hAnsi="Segoe UI" w:cs="Segoe UI"/>
          <w:sz w:val="22"/>
          <w:szCs w:val="22"/>
        </w:rPr>
        <w:t xml:space="preserve">Управления Росреестра по Республике Карелия </w:t>
      </w:r>
    </w:p>
    <w:p w:rsidR="00BA3EDF" w:rsidRDefault="00121075" w:rsidP="00BA3EDF">
      <w:pPr>
        <w:jc w:val="right"/>
        <w:rPr>
          <w:shd w:val="clear" w:color="auto" w:fill="FFFFFF"/>
        </w:rPr>
      </w:pPr>
      <w:hyperlink r:id="rId7" w:history="1">
        <w:r w:rsidR="00BA3EDF">
          <w:rPr>
            <w:rStyle w:val="a9"/>
            <w:shd w:val="clear" w:color="auto" w:fill="FFFFFF"/>
          </w:rPr>
          <w:t>#</w:t>
        </w:r>
        <w:proofErr w:type="spellStart"/>
        <w:r w:rsidR="00BA3EDF">
          <w:rPr>
            <w:rStyle w:val="a9"/>
            <w:shd w:val="clear" w:color="auto" w:fill="FFFFFF"/>
          </w:rPr>
          <w:t>Росреестр</w:t>
        </w:r>
        <w:proofErr w:type="spellEnd"/>
      </w:hyperlink>
      <w:r w:rsidR="00BA3EDF">
        <w:rPr>
          <w:shd w:val="clear" w:color="auto" w:fill="FFFFFF"/>
        </w:rPr>
        <w:t> </w:t>
      </w:r>
      <w:hyperlink r:id="rId8" w:history="1">
        <w:r w:rsidR="00BA3EDF">
          <w:rPr>
            <w:rStyle w:val="a9"/>
            <w:shd w:val="clear" w:color="auto" w:fill="FFFFFF"/>
          </w:rPr>
          <w:t>#</w:t>
        </w:r>
        <w:proofErr w:type="spellStart"/>
        <w:r w:rsidR="00BA3EDF">
          <w:rPr>
            <w:rStyle w:val="a9"/>
            <w:shd w:val="clear" w:color="auto" w:fill="FFFFFF"/>
          </w:rPr>
          <w:t>РосреестрКарелии</w:t>
        </w:r>
        <w:proofErr w:type="spellEnd"/>
      </w:hyperlink>
      <w:r w:rsidR="00BA3EDF">
        <w:rPr>
          <w:shd w:val="clear" w:color="auto" w:fill="FFFFFF"/>
        </w:rPr>
        <w:t> </w:t>
      </w: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BA3EDF" w:rsidRDefault="00BA3EDF" w:rsidP="00BA3EDF">
      <w:pPr>
        <w:jc w:val="right"/>
        <w:rPr>
          <w:shd w:val="clear" w:color="auto" w:fill="FFFFFF"/>
        </w:rPr>
      </w:pPr>
    </w:p>
    <w:p w:rsidR="00AE12D6" w:rsidRDefault="00AE12D6">
      <w:pPr>
        <w:jc w:val="both"/>
        <w:rPr>
          <w:rFonts w:ascii="Segoe UI" w:hAnsi="Segoe UI"/>
          <w:b/>
          <w:sz w:val="18"/>
        </w:rPr>
      </w:pPr>
    </w:p>
    <w:p w:rsidR="00AE12D6" w:rsidRDefault="00AE12D6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E12D6" w:rsidRDefault="00AE12D6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E12D6" w:rsidRDefault="00AE12D6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AE12D6" w:rsidRDefault="00AE12D6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74CDA" w:rsidRPr="009571F9" w:rsidRDefault="00074CDA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074CDA" w:rsidRPr="00C73DCB" w:rsidRDefault="00074CDA" w:rsidP="00074CDA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074CDA" w:rsidRDefault="00074CDA" w:rsidP="00074CDA">
      <w:pPr>
        <w:autoSpaceDE w:val="0"/>
      </w:pPr>
      <w:r>
        <w:rPr>
          <w:rFonts w:ascii="Segoe UI" w:hAnsi="Segoe UI" w:cs="Segoe UI"/>
          <w:sz w:val="18"/>
          <w:szCs w:val="18"/>
        </w:rPr>
        <w:t>8 (8142) 76 29 48, 76 46 06</w:t>
      </w:r>
    </w:p>
    <w:p w:rsidR="00074CDA" w:rsidRPr="00F537F5" w:rsidRDefault="00121075" w:rsidP="00074CDA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074CDA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; </w:t>
      </w:r>
      <w:hyperlink r:id="rId10" w:history="1">
        <w:r w:rsidR="00074CDA" w:rsidRPr="00F537F5">
          <w:rPr>
            <w:rStyle w:val="a9"/>
            <w:rFonts w:ascii="Segoe UI" w:hAnsi="Segoe UI" w:cs="Segoe UI"/>
            <w:sz w:val="18"/>
            <w:szCs w:val="18"/>
            <w:lang w:val="en-US"/>
          </w:rPr>
          <w:t>S</w:t>
        </w:r>
        <w:r w:rsidR="00074CDA" w:rsidRPr="00F537F5">
          <w:rPr>
            <w:rStyle w:val="a9"/>
            <w:rFonts w:ascii="Segoe UI" w:hAnsi="Segoe UI" w:cs="Segoe UI"/>
            <w:sz w:val="18"/>
            <w:szCs w:val="18"/>
          </w:rPr>
          <w:t>hipnyagova@rosreg.karelia.ru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 </w:t>
      </w:r>
    </w:p>
    <w:p w:rsidR="00074CDA" w:rsidRPr="00CD2E18" w:rsidRDefault="00074CDA" w:rsidP="00074CDA">
      <w:pPr>
        <w:autoSpaceDE w:val="0"/>
        <w:rPr>
          <w:rFonts w:ascii="Segoe UI" w:eastAsia="Calibri" w:hAnsi="Segoe UI" w:cs="Segoe UI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p w:rsidR="00CB5FB6" w:rsidRDefault="00CB5FB6" w:rsidP="00074CDA">
      <w:pPr>
        <w:jc w:val="both"/>
        <w:rPr>
          <w:rFonts w:ascii="Segoe UI" w:hAnsi="Segoe UI"/>
        </w:rPr>
      </w:pPr>
    </w:p>
    <w:sectPr w:rsidR="00CB5FB6" w:rsidSect="002711E4">
      <w:headerReference w:type="default" r:id="rId11"/>
      <w:pgSz w:w="11906" w:h="16838"/>
      <w:pgMar w:top="1134" w:right="851" w:bottom="567" w:left="1276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51" w:rsidRDefault="00C34951" w:rsidP="00CB5FB6">
      <w:r>
        <w:separator/>
      </w:r>
    </w:p>
  </w:endnote>
  <w:endnote w:type="continuationSeparator" w:id="0">
    <w:p w:rsidR="00C34951" w:rsidRDefault="00C3495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51" w:rsidRDefault="00C34951" w:rsidP="00CB5FB6">
      <w:r>
        <w:separator/>
      </w:r>
    </w:p>
  </w:footnote>
  <w:footnote w:type="continuationSeparator" w:id="0">
    <w:p w:rsidR="00C34951" w:rsidRDefault="00C3495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63253"/>
    <w:rsid w:val="00071340"/>
    <w:rsid w:val="0007408C"/>
    <w:rsid w:val="00074CDA"/>
    <w:rsid w:val="00074F25"/>
    <w:rsid w:val="000A4DE2"/>
    <w:rsid w:val="000B3416"/>
    <w:rsid w:val="000F624E"/>
    <w:rsid w:val="00103F92"/>
    <w:rsid w:val="00107BAE"/>
    <w:rsid w:val="001102EA"/>
    <w:rsid w:val="00121075"/>
    <w:rsid w:val="001257C3"/>
    <w:rsid w:val="00132361"/>
    <w:rsid w:val="00135A69"/>
    <w:rsid w:val="00140400"/>
    <w:rsid w:val="00141A41"/>
    <w:rsid w:val="0014211F"/>
    <w:rsid w:val="00143B3A"/>
    <w:rsid w:val="00163BB8"/>
    <w:rsid w:val="00176984"/>
    <w:rsid w:val="001C509A"/>
    <w:rsid w:val="001D6B2A"/>
    <w:rsid w:val="001D6E21"/>
    <w:rsid w:val="001F7F0E"/>
    <w:rsid w:val="00225C95"/>
    <w:rsid w:val="002707BB"/>
    <w:rsid w:val="002711E4"/>
    <w:rsid w:val="00282516"/>
    <w:rsid w:val="00294995"/>
    <w:rsid w:val="002A7240"/>
    <w:rsid w:val="002C41F7"/>
    <w:rsid w:val="002C7B97"/>
    <w:rsid w:val="003218C2"/>
    <w:rsid w:val="0032422D"/>
    <w:rsid w:val="00332941"/>
    <w:rsid w:val="00350AAA"/>
    <w:rsid w:val="00354D76"/>
    <w:rsid w:val="0037662F"/>
    <w:rsid w:val="003813F8"/>
    <w:rsid w:val="003D4A01"/>
    <w:rsid w:val="003F0A80"/>
    <w:rsid w:val="00462B3E"/>
    <w:rsid w:val="004640E4"/>
    <w:rsid w:val="00483127"/>
    <w:rsid w:val="00487409"/>
    <w:rsid w:val="00500585"/>
    <w:rsid w:val="00501719"/>
    <w:rsid w:val="00504698"/>
    <w:rsid w:val="00507C4C"/>
    <w:rsid w:val="005116EA"/>
    <w:rsid w:val="00535578"/>
    <w:rsid w:val="00536AE4"/>
    <w:rsid w:val="005407FC"/>
    <w:rsid w:val="00565FCE"/>
    <w:rsid w:val="00577299"/>
    <w:rsid w:val="0058651F"/>
    <w:rsid w:val="005D0A9E"/>
    <w:rsid w:val="005D0DA3"/>
    <w:rsid w:val="005F6B13"/>
    <w:rsid w:val="00634979"/>
    <w:rsid w:val="00635E2C"/>
    <w:rsid w:val="00642C44"/>
    <w:rsid w:val="00644CCC"/>
    <w:rsid w:val="00646B3C"/>
    <w:rsid w:val="00652007"/>
    <w:rsid w:val="006A3CD3"/>
    <w:rsid w:val="006B2CF8"/>
    <w:rsid w:val="006D5381"/>
    <w:rsid w:val="006E180D"/>
    <w:rsid w:val="007042F6"/>
    <w:rsid w:val="007119BF"/>
    <w:rsid w:val="0075467C"/>
    <w:rsid w:val="007654CC"/>
    <w:rsid w:val="00780D1A"/>
    <w:rsid w:val="00797FCC"/>
    <w:rsid w:val="007A453D"/>
    <w:rsid w:val="007B155B"/>
    <w:rsid w:val="007B1ACB"/>
    <w:rsid w:val="007B7758"/>
    <w:rsid w:val="007D46CB"/>
    <w:rsid w:val="0080665D"/>
    <w:rsid w:val="00821A20"/>
    <w:rsid w:val="0083225A"/>
    <w:rsid w:val="00832444"/>
    <w:rsid w:val="00845814"/>
    <w:rsid w:val="00852330"/>
    <w:rsid w:val="00863706"/>
    <w:rsid w:val="00882326"/>
    <w:rsid w:val="00886C9E"/>
    <w:rsid w:val="008B3E86"/>
    <w:rsid w:val="008D139B"/>
    <w:rsid w:val="008D45FC"/>
    <w:rsid w:val="00920237"/>
    <w:rsid w:val="0093213E"/>
    <w:rsid w:val="00967AC1"/>
    <w:rsid w:val="00987BAC"/>
    <w:rsid w:val="009B6D86"/>
    <w:rsid w:val="00A07D18"/>
    <w:rsid w:val="00A11BEB"/>
    <w:rsid w:val="00A27A1B"/>
    <w:rsid w:val="00A33D12"/>
    <w:rsid w:val="00A53442"/>
    <w:rsid w:val="00A80F32"/>
    <w:rsid w:val="00AC5D8F"/>
    <w:rsid w:val="00AE12D6"/>
    <w:rsid w:val="00AF4340"/>
    <w:rsid w:val="00B14609"/>
    <w:rsid w:val="00B14CBE"/>
    <w:rsid w:val="00B52BE6"/>
    <w:rsid w:val="00B52DE2"/>
    <w:rsid w:val="00B60963"/>
    <w:rsid w:val="00B77829"/>
    <w:rsid w:val="00BA3EDF"/>
    <w:rsid w:val="00BC26C3"/>
    <w:rsid w:val="00BC2914"/>
    <w:rsid w:val="00BE3E65"/>
    <w:rsid w:val="00BE5914"/>
    <w:rsid w:val="00BF7DC4"/>
    <w:rsid w:val="00C021E4"/>
    <w:rsid w:val="00C0380A"/>
    <w:rsid w:val="00C22F18"/>
    <w:rsid w:val="00C34951"/>
    <w:rsid w:val="00C4545D"/>
    <w:rsid w:val="00C54703"/>
    <w:rsid w:val="00C658DB"/>
    <w:rsid w:val="00C7594D"/>
    <w:rsid w:val="00CA4978"/>
    <w:rsid w:val="00CB5FB6"/>
    <w:rsid w:val="00CC083E"/>
    <w:rsid w:val="00CC1CBF"/>
    <w:rsid w:val="00D26857"/>
    <w:rsid w:val="00D34318"/>
    <w:rsid w:val="00D64337"/>
    <w:rsid w:val="00D95153"/>
    <w:rsid w:val="00E12ACF"/>
    <w:rsid w:val="00E2482A"/>
    <w:rsid w:val="00E36ED2"/>
    <w:rsid w:val="00E40C56"/>
    <w:rsid w:val="00E40F6B"/>
    <w:rsid w:val="00E524ED"/>
    <w:rsid w:val="00E56314"/>
    <w:rsid w:val="00E73030"/>
    <w:rsid w:val="00EA29B5"/>
    <w:rsid w:val="00EA5248"/>
    <w:rsid w:val="00EC77E5"/>
    <w:rsid w:val="00EF1976"/>
    <w:rsid w:val="00EF3858"/>
    <w:rsid w:val="00F00B64"/>
    <w:rsid w:val="00F162F7"/>
    <w:rsid w:val="00F169FB"/>
    <w:rsid w:val="00F273AB"/>
    <w:rsid w:val="00F321BF"/>
    <w:rsid w:val="00F55BD4"/>
    <w:rsid w:val="00F70716"/>
    <w:rsid w:val="00F83E5F"/>
    <w:rsid w:val="00F86743"/>
    <w:rsid w:val="00FA1B5E"/>
    <w:rsid w:val="00FB0C4F"/>
    <w:rsid w:val="00FC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9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hipnyago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Molchun</cp:lastModifiedBy>
  <cp:revision>2</cp:revision>
  <cp:lastPrinted>2021-06-01T07:33:00Z</cp:lastPrinted>
  <dcterms:created xsi:type="dcterms:W3CDTF">2022-02-07T10:13:00Z</dcterms:created>
  <dcterms:modified xsi:type="dcterms:W3CDTF">2022-02-07T10:13:00Z</dcterms:modified>
</cp:coreProperties>
</file>