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21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582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582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21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21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3. В соответствии с положениями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  <w:vertAlign w:val="superscript"/>
        </w:rPr>
        <w:t xml:space="preserve"> </w:t>
      </w:r>
      <w:r>
        <w:rPr>
          <w:color w:val="000000"/>
          <w:szCs w:val="24"/>
        </w:rPr>
        <w:t xml:space="preserve">Бюджетного кодекса пунктами 3 и 4 и приложениями 1 и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утверждаются перечень и коды главных </w:t>
      </w:r>
      <w:r>
        <w:rPr>
          <w:color w:val="000000"/>
          <w:szCs w:val="24"/>
        </w:rPr>
        <w:t xml:space="preserve">администраторов доходов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и перечень</w:t>
      </w:r>
      <w:r>
        <w:rPr>
          <w:color w:val="000000"/>
          <w:szCs w:val="24"/>
        </w:rPr>
        <w:t xml:space="preserve"> главных администраторов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а также перечни закрепляемых за ними доходов и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21</w:t>
      </w:r>
      <w:r>
        <w:rPr>
          <w:color w:val="000000"/>
          <w:szCs w:val="24"/>
        </w:rPr>
        <w:t xml:space="preserve"> год.  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7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21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25"/>
        </w:rPr>
        <w:t xml:space="preserve">самоуправления </w:t>
      </w:r>
      <w:r>
        <w:rPr>
          <w:rStyle w:val="625"/>
        </w:rPr>
        <w:t xml:space="preserve">Элисенваарского</w:t>
      </w:r>
      <w:r>
        <w:rPr>
          <w:rStyle w:val="625"/>
        </w:rPr>
        <w:t xml:space="preserve"> сельского</w:t>
      </w:r>
      <w:r>
        <w:rPr>
          <w:rStyle w:val="625"/>
        </w:rPr>
        <w:t xml:space="preserve"> поселения, муниципальных казенных учреждений </w:t>
      </w:r>
      <w:r>
        <w:rPr>
          <w:rStyle w:val="625"/>
        </w:rPr>
        <w:t xml:space="preserve">Элисенваарского </w:t>
      </w:r>
      <w:r>
        <w:rPr>
          <w:rStyle w:val="625"/>
        </w:rPr>
        <w:t xml:space="preserve">сельского</w:t>
      </w:r>
      <w:r>
        <w:rPr>
          <w:rStyle w:val="625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24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24"/>
        <w:spacing w:lineRule="auto" w:line="360"/>
      </w:pPr>
      <w:r/>
      <w:bookmarkEnd w:id="0"/>
      <w:r>
        <w:t xml:space="preserve">7. Пунктом</w:t>
      </w:r>
      <w:r>
        <w:t xml:space="preserve"> </w:t>
      </w:r>
      <w:r>
        <w:t xml:space="preserve">1</w:t>
      </w:r>
      <w:r>
        <w:t xml:space="preserve">4</w:t>
      </w:r>
      <w:r>
        <w:t xml:space="preserve"> и приложением </w:t>
      </w:r>
      <w:r>
        <w:t xml:space="preserve">5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2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8.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591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1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1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21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591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2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2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2020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21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21</w:t>
            </w:r>
            <w:r>
              <w:rPr>
                <w:b/>
                <w:szCs w:val="24"/>
              </w:rPr>
              <w:t xml:space="preserve"> года от плана 2020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6021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92</w:t>
            </w:r>
            <w:r>
              <w:rPr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4385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96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1635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96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7736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72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4916</w:t>
            </w:r>
            <w:r>
              <w:rPr>
                <w:szCs w:val="24"/>
              </w:rPr>
              <w:t xml:space="preserve">,50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2820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22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1714,80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530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54</w:t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1184</w:t>
            </w:r>
            <w:r>
              <w:rPr>
                <w:szCs w:val="24"/>
              </w:rPr>
              <w:t xml:space="preserve">,26</w:t>
            </w:r>
            <w:r>
              <w:rPr>
                <w:szCs w:val="24"/>
                <w:highlight w:val="yellow"/>
              </w:rPr>
            </w:r>
            <w:r/>
          </w:p>
        </w:tc>
      </w:tr>
    </w:tbl>
    <w:p>
      <w:pPr>
        <w:pStyle w:val="582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11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2020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21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4385</w:t>
      </w:r>
      <w:r>
        <w:rPr>
          <w:szCs w:val="24"/>
        </w:rPr>
        <w:t xml:space="preserve">,</w:t>
      </w:r>
      <w:r>
        <w:rPr>
          <w:szCs w:val="24"/>
        </w:rPr>
        <w:t xml:space="preserve">96 тыс. рублей, по расходам 4916</w:t>
      </w:r>
      <w:r>
        <w:rPr>
          <w:szCs w:val="24"/>
        </w:rPr>
        <w:t xml:space="preserve">,</w:t>
      </w:r>
      <w:r>
        <w:rPr>
          <w:szCs w:val="24"/>
        </w:rPr>
        <w:t xml:space="preserve">50</w:t>
      </w:r>
      <w:r>
        <w:rPr>
          <w:szCs w:val="24"/>
        </w:rPr>
        <w:t xml:space="preserve"> тыс. рублей,  дефицит бюджета – </w:t>
      </w:r>
      <w:r>
        <w:rPr>
          <w:szCs w:val="24"/>
        </w:rPr>
        <w:t xml:space="preserve">5</w:t>
      </w:r>
      <w:r>
        <w:rPr>
          <w:szCs w:val="24"/>
        </w:rPr>
        <w:t xml:space="preserve">30</w:t>
      </w:r>
      <w:r>
        <w:rPr>
          <w:szCs w:val="24"/>
        </w:rPr>
        <w:t xml:space="preserve">,54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582"/>
        <w:jc w:val="left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2020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21 </w:t>
      </w:r>
      <w:r>
        <w:rPr>
          <w:szCs w:val="24"/>
        </w:rPr>
        <w:t xml:space="preserve">год  использованы: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201</w:t>
      </w:r>
      <w:r>
        <w:rPr>
          <w:szCs w:val="24"/>
        </w:rPr>
        <w:t xml:space="preserve">9 </w:t>
      </w:r>
      <w:r>
        <w:rPr>
          <w:szCs w:val="24"/>
        </w:rPr>
        <w:t xml:space="preserve">год и 10 месяцев 2020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201</w:t>
      </w:r>
      <w:r>
        <w:rPr>
          <w:szCs w:val="24"/>
        </w:rPr>
        <w:t xml:space="preserve">9 </w:t>
      </w:r>
      <w:r>
        <w:rPr>
          <w:szCs w:val="24"/>
        </w:rPr>
        <w:t xml:space="preserve">год и 10 месяцев 2020</w:t>
      </w:r>
      <w:r>
        <w:rPr>
          <w:szCs w:val="24"/>
        </w:rPr>
        <w:t xml:space="preserve"> года.</w:t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2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2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2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2020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21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6298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4386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</w:t>
            </w:r>
            <w:r>
              <w:rPr>
                <w:b/>
                <w:bCs/>
                <w:szCs w:val="24"/>
              </w:rPr>
              <w:t xml:space="preserve">1912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3168</w:t>
            </w:r>
            <w:r>
              <w:rPr>
                <w:i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2410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</w:t>
            </w:r>
            <w:r>
              <w:rPr>
                <w:i/>
                <w:iCs/>
                <w:szCs w:val="24"/>
              </w:rPr>
              <w:t xml:space="preserve">758</w:t>
            </w:r>
            <w:r>
              <w:rPr>
                <w:i/>
                <w:iCs/>
                <w:szCs w:val="24"/>
                <w:highlight w:val="yellow"/>
              </w:rPr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410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466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56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525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575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38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</w:t>
            </w: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1800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1269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-531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300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-300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55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20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-35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2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3130</w:t>
            </w:r>
            <w:r>
              <w:rPr>
                <w:i/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1976</w:t>
            </w:r>
            <w:r>
              <w:rPr>
                <w:i/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2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-1154</w:t>
            </w:r>
            <w:r/>
          </w:p>
        </w:tc>
      </w:tr>
    </w:tbl>
    <w:p>
      <w:pPr>
        <w:pStyle w:val="582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2020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582"/>
        <w:spacing w:lineRule="auto" w:line="360"/>
      </w:pPr>
      <w:r/>
      <w:r/>
    </w:p>
    <w:p>
      <w:pPr>
        <w:pStyle w:val="585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582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2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582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2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582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 на 20</w:t>
      </w:r>
      <w:r>
        <w:rPr>
          <w:szCs w:val="24"/>
        </w:rPr>
        <w:t xml:space="preserve">21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 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на доходы с физических лиц на 20</w:t>
      </w:r>
      <w:r>
        <w:rPr>
          <w:szCs w:val="24"/>
        </w:rPr>
        <w:t xml:space="preserve">21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466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113</w:t>
      </w:r>
      <w:r>
        <w:rPr>
          <w:szCs w:val="24"/>
        </w:rPr>
        <w:t xml:space="preserve">,</w:t>
      </w:r>
      <w:r>
        <w:rPr>
          <w:szCs w:val="24"/>
        </w:rPr>
        <w:t xml:space="preserve">7</w:t>
      </w:r>
      <w:r>
        <w:rPr>
          <w:szCs w:val="24"/>
        </w:rPr>
        <w:t xml:space="preserve"> % процентов от плановых показателей 2020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Планируемые суммы, по данным главного администратора (ФНС России по Республике Карелия), на 20</w:t>
      </w:r>
      <w:r>
        <w:rPr>
          <w:rFonts w:eastAsia="Calibri"/>
          <w:iCs/>
          <w:szCs w:val="24"/>
          <w:lang w:eastAsia="en-US"/>
        </w:rPr>
        <w:t xml:space="preserve">21 </w:t>
      </w:r>
      <w:r>
        <w:rPr>
          <w:rFonts w:eastAsia="Calibri"/>
          <w:iCs/>
          <w:szCs w:val="24"/>
          <w:lang w:eastAsia="en-US"/>
        </w:rPr>
        <w:t xml:space="preserve">год составят </w:t>
      </w:r>
      <w:r>
        <w:rPr>
          <w:rFonts w:eastAsia="Calibri"/>
          <w:iCs/>
          <w:szCs w:val="24"/>
          <w:lang w:eastAsia="en-US"/>
        </w:rPr>
        <w:t xml:space="preserve">489</w:t>
      </w:r>
      <w:r>
        <w:rPr>
          <w:rFonts w:eastAsia="Calibri"/>
          <w:iCs/>
          <w:szCs w:val="24"/>
          <w:lang w:eastAsia="en-US"/>
        </w:rPr>
        <w:t xml:space="preserve">,0 тыс. рублей</w:t>
      </w:r>
      <w:r/>
    </w:p>
    <w:p>
      <w:pPr>
        <w:pStyle w:val="582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489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/>
    </w:p>
    <w:p>
      <w:pPr>
        <w:pStyle w:val="582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2"/>
        <w:ind w:firstLine="567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2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2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582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20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Управления Федерального казначейства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2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2021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574,66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Управления Федерального казначейства на 2020 год и плановый период 2021-2022 годов.</w:t>
      </w:r>
      <w:r/>
      <w:r>
        <w:rPr>
          <w:color w:val="000000"/>
        </w:rPr>
      </w:r>
      <w:r>
        <w:rPr>
          <w:color w:val="000000"/>
        </w:rPr>
        <w:t xml:space="preserve"> При предоставлении прогноза </w:t>
      </w:r>
      <w:r>
        <w:rPr>
          <w:color w:val="000000"/>
        </w:rPr>
        <w:t xml:space="preserve">Управления Федерального казначейства</w:t>
      </w:r>
      <w:r>
        <w:rPr>
          <w:color w:val="000000"/>
        </w:rPr>
        <w:t xml:space="preserve"> на 2021 год и </w:t>
      </w:r>
      <w:r>
        <w:rPr>
          <w:color w:val="000000"/>
        </w:rPr>
        <w:t xml:space="preserve">плановый период 2022-2023 годов</w:t>
      </w:r>
      <w:r/>
      <w:r>
        <w:rPr>
          <w:color w:val="000000"/>
        </w:rPr>
        <w:t xml:space="preserve"> будут внесены изменения в бюджет.</w:t>
      </w:r>
      <w:r>
        <w:rPr>
          <w:color w:val="000000"/>
        </w:rPr>
      </w:r>
      <w:r/>
    </w:p>
    <w:p>
      <w:pPr>
        <w:pStyle w:val="582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21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4</w:t>
      </w:r>
      <w:r>
        <w:rPr>
          <w:szCs w:val="24"/>
        </w:rPr>
        <w:t xml:space="preserve">0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21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1269</w:t>
      </w:r>
      <w:r>
        <w:rPr>
          <w:szCs w:val="24"/>
        </w:rPr>
        <w:t xml:space="preserve"> тыс. рублей</w:t>
      </w:r>
      <w:r>
        <w:rPr>
          <w:szCs w:val="24"/>
        </w:rPr>
      </w:r>
      <w:r/>
    </w:p>
    <w:p>
      <w:pPr>
        <w:pStyle w:val="582"/>
        <w:jc w:val="both"/>
        <w:spacing w:lineRule="auto" w:line="360"/>
        <w:rPr>
          <w:color w:val="FF0000"/>
          <w:szCs w:val="24"/>
        </w:rPr>
      </w:pPr>
      <w:r>
        <w:rPr>
          <w:color w:val="FF0000"/>
          <w:szCs w:val="24"/>
        </w:rPr>
      </w:r>
      <w:r/>
    </w:p>
    <w:p>
      <w:pPr>
        <w:pStyle w:val="582"/>
        <w:jc w:val="both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          </w:t>
      </w:r>
      <w:r>
        <w:rPr>
          <w:b/>
          <w:bCs/>
          <w:color w:val="000000"/>
          <w:szCs w:val="24"/>
        </w:rPr>
      </w:r>
      <w:r/>
    </w:p>
    <w:p>
      <w:pPr>
        <w:pStyle w:val="582"/>
        <w:jc w:val="both"/>
        <w:spacing w:lineRule="auto" w:line="360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582"/>
        <w:ind w:firstLine="720"/>
        <w:jc w:val="both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определен Администрацией Элисенваарского сельского поселения в размере </w:t>
      </w:r>
      <w:r>
        <w:rPr>
          <w:szCs w:val="24"/>
        </w:rPr>
        <w:t xml:space="preserve">20</w:t>
      </w:r>
      <w:r>
        <w:rPr>
          <w:szCs w:val="24"/>
        </w:rPr>
        <w:t xml:space="preserve">,0</w:t>
      </w:r>
      <w:r>
        <w:rPr>
          <w:szCs w:val="24"/>
        </w:rPr>
        <w:t xml:space="preserve"> тыс. рублей:</w:t>
      </w:r>
      <w:r>
        <w:rPr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- д</w:t>
      </w:r>
      <w:r>
        <w:rPr>
          <w:szCs w:val="24"/>
        </w:rPr>
        <w:t xml:space="preserve">оходы от сдачи имущества  в аренду</w:t>
      </w:r>
      <w:r>
        <w:rPr>
          <w:szCs w:val="24"/>
        </w:rPr>
        <w:t xml:space="preserve"> в размере - 20,0 тыс. руб., исходя из заключенных договоров с организациям</w:t>
      </w:r>
      <w:r>
        <w:rPr>
          <w:szCs w:val="24"/>
        </w:rPr>
        <w:t xml:space="preserve">и на 2020 г – 2021 г.</w:t>
      </w:r>
      <w:r>
        <w:rPr>
          <w:b/>
          <w:szCs w:val="24"/>
        </w:rPr>
      </w:r>
      <w:r/>
    </w:p>
    <w:p>
      <w:pPr>
        <w:pStyle w:val="582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582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21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582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2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582"/>
        <w:jc w:val="both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21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2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582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21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582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2"/>
        <w:jc w:val="center"/>
        <w:spacing w:lineRule="auto" w:line="360"/>
        <w:rPr>
          <w:b/>
          <w:i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i/>
          <w:szCs w:val="24"/>
        </w:rPr>
      </w:r>
      <w:r/>
    </w:p>
    <w:p>
      <w:pPr>
        <w:pStyle w:val="582"/>
        <w:jc w:val="both"/>
        <w:spacing w:lineRule="auto" w:line="360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2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1590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139</w:t>
      </w:r>
      <w:r>
        <w:rPr>
          <w:szCs w:val="24"/>
        </w:rPr>
        <w:t xml:space="preserve">,7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104</w:t>
      </w:r>
      <w:r>
        <w:rPr>
          <w:szCs w:val="24"/>
        </w:rPr>
        <w:t xml:space="preserve">,5</w:t>
      </w:r>
      <w:r>
        <w:rPr>
          <w:szCs w:val="24"/>
        </w:rPr>
        <w:t xml:space="preserve"> тыс. рублей, прочие межбюджетные трансферты,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142,1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</w:t>
      </w:r>
      <w:r>
        <w:rPr>
          <w:szCs w:val="24"/>
        </w:rPr>
        <w:t xml:space="preserve">1976</w:t>
      </w:r>
      <w:r>
        <w:rPr>
          <w:szCs w:val="24"/>
        </w:rPr>
        <w:t xml:space="preserve">,</w:t>
      </w:r>
      <w:r>
        <w:rPr>
          <w:szCs w:val="24"/>
        </w:rPr>
        <w:t xml:space="preserve">3</w:t>
      </w:r>
      <w:r>
        <w:rPr>
          <w:szCs w:val="24"/>
        </w:rPr>
        <w:t xml:space="preserve"> тыс. рублей.</w:t>
      </w:r>
      <w:r/>
    </w:p>
    <w:p>
      <w:pPr>
        <w:pStyle w:val="582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20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2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2020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21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403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137,7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1266,36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-1124,26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Субсидии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433,67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-433,67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82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2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582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21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2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2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2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2020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  <w:t xml:space="preserve"> %.</w:t>
      </w:r>
      <w:r/>
      <w:r/>
      <w:r/>
    </w:p>
    <w:p>
      <w:pPr>
        <w:pStyle w:val="582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2020</w:t>
      </w:r>
      <w:r>
        <w:t xml:space="preserve"> года.</w:t>
      </w:r>
      <w:r/>
    </w:p>
    <w:p>
      <w:pPr>
        <w:pStyle w:val="582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2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2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21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  <w:t xml:space="preserve">916</w:t>
      </w:r>
      <w:r>
        <w:rPr>
          <w:b/>
        </w:rPr>
        <w:t xml:space="preserve">,</w:t>
      </w:r>
      <w:r>
        <w:rPr>
          <w:b/>
        </w:rPr>
        <w:t xml:space="preserve">50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2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21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21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  <w:t xml:space="preserve">576</w:t>
            </w:r>
            <w:r>
              <w:rPr>
                <w:sz w:val="20"/>
              </w:rPr>
              <w:t xml:space="preserve">,6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52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4</w:t>
            </w:r>
            <w:r>
              <w:rPr>
                <w:sz w:val="20"/>
                <w:highlight w:val="yellow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137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7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  <w:t xml:space="preserve">,8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344</w:t>
            </w:r>
            <w:r>
              <w:rPr>
                <w:sz w:val="20"/>
              </w:rPr>
              <w:t xml:space="preserve">,80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186</w:t>
            </w:r>
            <w:r>
              <w:rPr>
                <w:sz w:val="20"/>
              </w:rPr>
              <w:t xml:space="preserve">,00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  <w:t xml:space="preserve">668</w:t>
            </w:r>
            <w:r>
              <w:rPr>
                <w:sz w:val="20"/>
              </w:rPr>
              <w:t xml:space="preserve">,4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2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  <w:t xml:space="preserve">. Физкультура и спорт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3,00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  <w:r>
              <w:rPr>
                <w:sz w:val="20"/>
              </w:rPr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2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2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4916</w:t>
            </w:r>
            <w:r>
              <w:rPr>
                <w:b/>
                <w:sz w:val="20"/>
              </w:rPr>
              <w:t xml:space="preserve">,</w:t>
            </w:r>
            <w:r>
              <w:rPr>
                <w:b/>
                <w:sz w:val="20"/>
              </w:rPr>
              <w:t xml:space="preserve">50</w:t>
            </w:r>
            <w:r>
              <w:rPr>
                <w:b/>
                <w:sz w:val="20"/>
              </w:rPr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2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2"/>
        <w:ind w:firstLine="709"/>
        <w:jc w:val="both"/>
        <w:spacing w:lineRule="auto" w:line="360"/>
      </w:pPr>
      <w:r/>
      <w:r/>
    </w:p>
    <w:p>
      <w:pPr>
        <w:pStyle w:val="582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21</w:t>
      </w:r>
      <w:r>
        <w:t xml:space="preserve"> год сформирован в сумме  </w:t>
      </w:r>
      <w:r>
        <w:t xml:space="preserve">2</w:t>
      </w:r>
      <w:r>
        <w:t xml:space="preserve"> 576</w:t>
      </w:r>
      <w:r>
        <w:t xml:space="preserve">,</w:t>
      </w:r>
      <w:r>
        <w:t xml:space="preserve">6</w:t>
      </w:r>
      <w:r>
        <w:t xml:space="preserve">0</w:t>
      </w:r>
      <w:r>
        <w:t xml:space="preserve"> </w:t>
      </w:r>
      <w:r>
        <w:t xml:space="preserve">тыс. рублей. </w:t>
      </w:r>
      <w:r/>
    </w:p>
    <w:p>
      <w:pPr>
        <w:pStyle w:val="582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2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910</w:t>
      </w:r>
      <w:r>
        <w:t xml:space="preserve">,9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Расходными обязательствами по данному разделу являются предварительные расчеты по оплате транспортных расходов при направлении  работника в служебную командировку в сумме 3,70 тыс. рублей.</w:t>
      </w:r>
      <w:r/>
    </w:p>
    <w:p>
      <w:pPr>
        <w:pStyle w:val="582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2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1641</w:t>
      </w:r>
      <w:r>
        <w:t xml:space="preserve">,7</w:t>
      </w:r>
      <w:r>
        <w:t xml:space="preserve">0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2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119</w:t>
      </w:r>
      <w:r>
        <w:t xml:space="preserve">,1</w:t>
      </w:r>
      <w:r>
        <w:t xml:space="preserve">0 тыс. рублей;</w:t>
      </w:r>
      <w:r/>
    </w:p>
    <w:p>
      <w:pPr>
        <w:pStyle w:val="582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5</w:t>
      </w:r>
      <w:r>
        <w:t xml:space="preserve">,</w:t>
      </w:r>
      <w:r>
        <w:t xml:space="preserve">50 тыс. рублей;</w:t>
      </w:r>
      <w:r/>
    </w:p>
    <w:p>
      <w:pPr>
        <w:pStyle w:val="582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</w:t>
      </w:r>
      <w:r>
        <w:t xml:space="preserve"> тыс. рублей;</w:t>
      </w:r>
      <w:r/>
    </w:p>
    <w:p>
      <w:pPr>
        <w:pStyle w:val="582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104</w:t>
      </w:r>
      <w:r>
        <w:t xml:space="preserve">,</w:t>
      </w:r>
      <w:r>
        <w:t xml:space="preserve">5</w:t>
      </w:r>
      <w:r>
        <w:t xml:space="preserve"> тыс. рублей.</w:t>
      </w:r>
      <w:r/>
    </w:p>
    <w:p>
      <w:pPr>
        <w:pStyle w:val="582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- 24,0 тыс. рублей.</w:t>
      </w:r>
      <w:r>
        <w:rPr>
          <w:b/>
        </w:rPr>
      </w:r>
      <w:r/>
    </w:p>
    <w:p>
      <w:pPr>
        <w:pStyle w:val="626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137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</w:rPr>
        <w:t xml:space="preserve"> тыс. рублей.</w:t>
      </w:r>
      <w:r/>
    </w:p>
    <w:p>
      <w:pPr>
        <w:pStyle w:val="582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</w:t>
      </w:r>
      <w:r>
        <w:rPr>
          <w:szCs w:val="24"/>
        </w:rPr>
        <w:t xml:space="preserve">344,8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;</w:t>
      </w:r>
      <w:r>
        <w:rPr>
          <w:szCs w:val="24"/>
        </w:rPr>
      </w:r>
      <w:r/>
    </w:p>
    <w:p>
      <w:pPr>
        <w:pStyle w:val="582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2"/>
        <w:ind w:firstLine="709"/>
        <w:jc w:val="both"/>
        <w:spacing w:lineRule="auto" w:line="360"/>
      </w:pPr>
      <w:r>
        <w:t xml:space="preserve">- уличное освещение – </w:t>
      </w:r>
      <w:r>
        <w:t xml:space="preserve">146</w:t>
      </w:r>
      <w:r>
        <w:t xml:space="preserve">,</w:t>
      </w:r>
      <w:r>
        <w:t xml:space="preserve">0 тыс. рублей;</w:t>
      </w:r>
      <w:r/>
    </w:p>
    <w:p>
      <w:pPr>
        <w:pStyle w:val="582"/>
        <w:ind w:firstLine="709"/>
        <w:jc w:val="both"/>
        <w:spacing w:lineRule="auto" w:line="360"/>
      </w:pPr>
      <w:r>
        <w:t xml:space="preserve">- </w:t>
      </w:r>
      <w:r>
        <w:t xml:space="preserve">благоустройство</w:t>
      </w:r>
      <w:r>
        <w:t xml:space="preserve"> территории – 4</w:t>
      </w:r>
      <w:r>
        <w:t xml:space="preserve">0,0</w:t>
      </w:r>
      <w:r>
        <w:t xml:space="preserve"> тыс. рублей;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</w:t>
      </w:r>
      <w:r>
        <w:t xml:space="preserve">1 </w:t>
      </w:r>
      <w:r>
        <w:t xml:space="preserve">668</w:t>
      </w:r>
      <w:r>
        <w:t xml:space="preserve">,4</w:t>
      </w:r>
      <w:r>
        <w:t xml:space="preserve">0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142,1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35,53 тыс. рублей.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предварительные расчеты по оплате транспортных расходов при направлении  работника в служебную командировку в сумме 1,70 тыс. рублей.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229</w:t>
      </w:r>
      <w:r>
        <w:t xml:space="preserve">,</w:t>
      </w:r>
      <w:r>
        <w:t xml:space="preserve">2</w:t>
      </w:r>
      <w:r>
        <w:t xml:space="preserve">0 тыс. рублей;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6,50 тыс. рублей.</w:t>
      </w:r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rPr>
          <w:b/>
        </w:rPr>
        <w:t xml:space="preserve">По разделу 1101</w:t>
      </w:r>
      <w:r>
        <w:t xml:space="preserve"> </w:t>
      </w:r>
      <w:r>
        <w:rPr>
          <w:i/>
        </w:rPr>
        <w:t xml:space="preserve">«</w:t>
      </w:r>
      <w:r>
        <w:rPr>
          <w:b/>
          <w:i w:val="false"/>
        </w:rPr>
        <w:t xml:space="preserve">Физическая культура и спорт</w:t>
      </w:r>
      <w:r>
        <w:rPr>
          <w:i/>
        </w:rPr>
        <w:t xml:space="preserve">»</w:t>
      </w:r>
      <w:r>
        <w:t xml:space="preserve"> предусмотрены бюджетные ассигнования на</w:t>
      </w:r>
      <w:r>
        <w:t xml:space="preserve"> обеспечение условий для развития на территории поселения физической культуры в сумме</w:t>
      </w:r>
      <w:r>
        <w:t xml:space="preserve"> 3,0</w:t>
      </w:r>
      <w:r>
        <w:t xml:space="preserve"> тыс. рублей.</w:t>
      </w:r>
      <w:r/>
      <w:r/>
      <w:r/>
    </w:p>
    <w:p>
      <w:pPr>
        <w:pStyle w:val="582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/>
      <w:r/>
    </w:p>
    <w:p>
      <w:pPr>
        <w:pStyle w:val="582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</w:p>
    <w:p>
      <w:pPr>
        <w:pStyle w:val="582"/>
        <w:jc w:val="center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21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530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54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22</w:t>
      </w:r>
      <w:r>
        <w:rPr>
          <w:szCs w:val="24"/>
        </w:rPr>
        <w:t xml:space="preserve">,</w:t>
      </w:r>
      <w:r>
        <w:rPr>
          <w:szCs w:val="24"/>
        </w:rPr>
        <w:t xml:space="preserve">02</w:t>
      </w:r>
      <w:r>
        <w:rPr>
          <w:szCs w:val="24"/>
        </w:rPr>
        <w:t xml:space="preserve"> </w:t>
      </w:r>
      <w:r>
        <w:rPr>
          <w:szCs w:val="24"/>
        </w:rPr>
        <w:t xml:space="preserve">процента</w:t>
      </w:r>
      <w:r>
        <w:rPr>
          <w:szCs w:val="24"/>
        </w:rPr>
        <w:t xml:space="preserve">. </w:t>
      </w:r>
      <w:r>
        <w:rPr>
          <w:szCs w:val="24"/>
        </w:rPr>
        <w:t xml:space="preserve">Дефицит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21</w:t>
      </w:r>
      <w:r>
        <w:rPr>
          <w:szCs w:val="24"/>
        </w:rPr>
        <w:t xml:space="preserve"> год превышает ограничения, установленные частью 1 пункта 3 статьи 92.1 Бюджетного кодекса Российской Федерации.</w:t>
      </w:r>
      <w:r>
        <w:rPr>
          <w:szCs w:val="24"/>
        </w:rPr>
        <w:t xml:space="preserve"> </w:t>
      </w:r>
      <w:r>
        <w:rPr>
          <w:szCs w:val="24"/>
        </w:rPr>
        <w:t xml:space="preserve">В соответствии с частью 3 указанн</w:t>
      </w:r>
      <w:r>
        <w:rPr>
          <w:szCs w:val="24"/>
        </w:rPr>
        <w:t xml:space="preserve">ой статьи, снижения остатков средств на счетах по учету средств местного бюджета, дефицит местного бюджета может превысить ограничения, установленные настоящим пунктом, в пределах суммы снижения остатков средств на счетах по учету средств местного бюджета.</w:t>
      </w: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Погашение дефицита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21</w:t>
      </w:r>
      <w:r>
        <w:rPr>
          <w:szCs w:val="24"/>
        </w:rPr>
        <w:t xml:space="preserve"> год в размере </w:t>
      </w:r>
      <w:r>
        <w:rPr>
          <w:szCs w:val="24"/>
        </w:rPr>
        <w:t xml:space="preserve">530</w:t>
      </w:r>
      <w:r>
        <w:rPr>
          <w:szCs w:val="24"/>
        </w:rPr>
        <w:t xml:space="preserve">,54</w:t>
      </w:r>
      <w:r>
        <w:rPr>
          <w:szCs w:val="24"/>
        </w:rPr>
        <w:t xml:space="preserve"> тыс. руб. производится  за счет изменения остатков средств на счетах бюджета.</w:t>
      </w:r>
      <w:r>
        <w:rPr>
          <w:szCs w:val="24"/>
        </w:rPr>
      </w:r>
      <w:r/>
    </w:p>
    <w:p>
      <w:pPr>
        <w:pStyle w:val="592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Cs w:val="28"/>
        </w:rPr>
        <w:t xml:space="preserve">Заемные источники финансирования дефицита бюджета на 20</w:t>
      </w:r>
      <w:r>
        <w:rPr>
          <w:szCs w:val="28"/>
        </w:rPr>
        <w:t xml:space="preserve">21</w:t>
      </w:r>
      <w:r>
        <w:rPr>
          <w:szCs w:val="28"/>
        </w:rPr>
        <w:t xml:space="preserve"> год не </w:t>
      </w:r>
      <w:r>
        <w:rPr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 </w:t>
      </w: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2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2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2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2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2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2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2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2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2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2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2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2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2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2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2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2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2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2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2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2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2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2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2"/>
        <w:ind w:left="6829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0">
    <w:name w:val="Heading 1"/>
    <w:link w:val="41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1">
    <w:name w:val="Heading 1 Char"/>
    <w:link w:val="410"/>
    <w:uiPriority w:val="9"/>
    <w:rPr>
      <w:rFonts w:ascii="Arial" w:hAnsi="Arial" w:cs="Arial" w:eastAsia="Arial"/>
      <w:sz w:val="40"/>
      <w:szCs w:val="40"/>
    </w:rPr>
  </w:style>
  <w:style w:type="paragraph" w:styleId="412">
    <w:name w:val="Heading 2"/>
    <w:link w:val="41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3">
    <w:name w:val="Heading 2 Char"/>
    <w:link w:val="412"/>
    <w:uiPriority w:val="9"/>
    <w:rPr>
      <w:rFonts w:ascii="Arial" w:hAnsi="Arial" w:cs="Arial" w:eastAsia="Arial"/>
      <w:sz w:val="34"/>
    </w:rPr>
  </w:style>
  <w:style w:type="paragraph" w:styleId="414">
    <w:name w:val="Heading 3"/>
    <w:link w:val="41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5">
    <w:name w:val="Heading 3 Char"/>
    <w:link w:val="414"/>
    <w:uiPriority w:val="9"/>
    <w:rPr>
      <w:rFonts w:ascii="Arial" w:hAnsi="Arial" w:cs="Arial" w:eastAsia="Arial"/>
      <w:sz w:val="30"/>
      <w:szCs w:val="30"/>
    </w:rPr>
  </w:style>
  <w:style w:type="paragraph" w:styleId="416">
    <w:name w:val="Heading 4"/>
    <w:link w:val="41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7">
    <w:name w:val="Heading 4 Char"/>
    <w:link w:val="416"/>
    <w:uiPriority w:val="9"/>
    <w:rPr>
      <w:rFonts w:ascii="Arial" w:hAnsi="Arial" w:cs="Arial" w:eastAsia="Arial"/>
      <w:b/>
      <w:bCs/>
      <w:sz w:val="26"/>
      <w:szCs w:val="26"/>
    </w:rPr>
  </w:style>
  <w:style w:type="paragraph" w:styleId="418">
    <w:name w:val="Heading 5"/>
    <w:link w:val="41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9">
    <w:name w:val="Heading 5 Char"/>
    <w:link w:val="418"/>
    <w:uiPriority w:val="9"/>
    <w:rPr>
      <w:rFonts w:ascii="Arial" w:hAnsi="Arial" w:cs="Arial" w:eastAsia="Arial"/>
      <w:b/>
      <w:bCs/>
      <w:sz w:val="24"/>
      <w:szCs w:val="24"/>
    </w:rPr>
  </w:style>
  <w:style w:type="paragraph" w:styleId="420">
    <w:name w:val="Heading 6"/>
    <w:link w:val="42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1">
    <w:name w:val="Heading 6 Char"/>
    <w:link w:val="420"/>
    <w:uiPriority w:val="9"/>
    <w:rPr>
      <w:rFonts w:ascii="Arial" w:hAnsi="Arial" w:cs="Arial" w:eastAsia="Arial"/>
      <w:b/>
      <w:bCs/>
      <w:sz w:val="22"/>
      <w:szCs w:val="22"/>
    </w:rPr>
  </w:style>
  <w:style w:type="paragraph" w:styleId="422">
    <w:name w:val="Heading 7"/>
    <w:link w:val="42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3">
    <w:name w:val="Heading 7 Char"/>
    <w:link w:val="42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4">
    <w:name w:val="Heading 8"/>
    <w:link w:val="42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5">
    <w:name w:val="Heading 8 Char"/>
    <w:link w:val="424"/>
    <w:uiPriority w:val="9"/>
    <w:rPr>
      <w:rFonts w:ascii="Arial" w:hAnsi="Arial" w:cs="Arial" w:eastAsia="Arial"/>
      <w:i/>
      <w:iCs/>
      <w:sz w:val="22"/>
      <w:szCs w:val="22"/>
    </w:rPr>
  </w:style>
  <w:style w:type="paragraph" w:styleId="426">
    <w:name w:val="Heading 9"/>
    <w:link w:val="42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7">
    <w:name w:val="Heading 9 Char"/>
    <w:link w:val="426"/>
    <w:uiPriority w:val="9"/>
    <w:rPr>
      <w:rFonts w:ascii="Arial" w:hAnsi="Arial" w:cs="Arial" w:eastAsia="Arial"/>
      <w:i/>
      <w:iCs/>
      <w:sz w:val="21"/>
      <w:szCs w:val="21"/>
    </w:rPr>
  </w:style>
  <w:style w:type="paragraph" w:styleId="428">
    <w:name w:val="List Paragraph"/>
    <w:qFormat/>
    <w:uiPriority w:val="34"/>
    <w:pPr>
      <w:contextualSpacing w:val="true"/>
      <w:ind w:left="720"/>
    </w:pPr>
  </w:style>
  <w:style w:type="paragraph" w:styleId="429">
    <w:name w:val="No Spacing"/>
    <w:qFormat/>
    <w:uiPriority w:val="1"/>
    <w:pPr>
      <w:spacing w:lineRule="auto" w:line="240" w:after="0" w:before="0"/>
    </w:pPr>
  </w:style>
  <w:style w:type="paragraph" w:styleId="430">
    <w:name w:val="Title"/>
    <w:link w:val="4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1">
    <w:name w:val="Title Char"/>
    <w:link w:val="430"/>
    <w:uiPriority w:val="10"/>
    <w:rPr>
      <w:sz w:val="48"/>
      <w:szCs w:val="48"/>
    </w:rPr>
  </w:style>
  <w:style w:type="paragraph" w:styleId="432">
    <w:name w:val="Subtitle"/>
    <w:link w:val="433"/>
    <w:qFormat/>
    <w:uiPriority w:val="11"/>
    <w:rPr>
      <w:sz w:val="24"/>
      <w:szCs w:val="24"/>
    </w:rPr>
    <w:pPr>
      <w:spacing w:after="200" w:before="200"/>
    </w:pPr>
  </w:style>
  <w:style w:type="character" w:styleId="433">
    <w:name w:val="Subtitle Char"/>
    <w:link w:val="432"/>
    <w:uiPriority w:val="11"/>
    <w:rPr>
      <w:sz w:val="24"/>
      <w:szCs w:val="24"/>
    </w:rPr>
  </w:style>
  <w:style w:type="paragraph" w:styleId="434">
    <w:name w:val="Quote"/>
    <w:link w:val="435"/>
    <w:qFormat/>
    <w:uiPriority w:val="29"/>
    <w:rPr>
      <w:i/>
    </w:rPr>
    <w:pPr>
      <w:ind w:left="720" w:right="720"/>
    </w:pPr>
  </w:style>
  <w:style w:type="character" w:styleId="435">
    <w:name w:val="Quote Char"/>
    <w:link w:val="434"/>
    <w:uiPriority w:val="29"/>
    <w:rPr>
      <w:i/>
    </w:rPr>
  </w:style>
  <w:style w:type="paragraph" w:styleId="436">
    <w:name w:val="Intense Quote"/>
    <w:link w:val="43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7">
    <w:name w:val="Intense Quote Char"/>
    <w:link w:val="436"/>
    <w:uiPriority w:val="30"/>
    <w:rPr>
      <w:i/>
    </w:rPr>
  </w:style>
  <w:style w:type="paragraph" w:styleId="438">
    <w:name w:val="Header"/>
    <w:link w:val="4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9">
    <w:name w:val="Header Char"/>
    <w:link w:val="438"/>
    <w:uiPriority w:val="99"/>
  </w:style>
  <w:style w:type="paragraph" w:styleId="440">
    <w:name w:val="Footer"/>
    <w:link w:val="4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1">
    <w:name w:val="Footer Char"/>
    <w:link w:val="440"/>
    <w:uiPriority w:val="99"/>
  </w:style>
  <w:style w:type="table" w:styleId="4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8">
    <w:name w:val="Hyperlink"/>
    <w:uiPriority w:val="99"/>
    <w:unhideWhenUsed/>
    <w:rPr>
      <w:color w:val="0000FF" w:themeColor="hyperlink"/>
      <w:u w:val="single"/>
    </w:rPr>
  </w:style>
  <w:style w:type="paragraph" w:styleId="569">
    <w:name w:val="footnote text"/>
    <w:link w:val="570"/>
    <w:uiPriority w:val="99"/>
    <w:semiHidden/>
    <w:unhideWhenUsed/>
    <w:rPr>
      <w:sz w:val="18"/>
    </w:rPr>
    <w:pPr>
      <w:spacing w:lineRule="auto" w:line="240" w:after="40"/>
    </w:pPr>
  </w:style>
  <w:style w:type="character" w:styleId="570">
    <w:name w:val="Footnote Text Char"/>
    <w:link w:val="569"/>
    <w:uiPriority w:val="99"/>
    <w:rPr>
      <w:sz w:val="18"/>
    </w:rPr>
  </w:style>
  <w:style w:type="character" w:styleId="571">
    <w:name w:val="footnote reference"/>
    <w:uiPriority w:val="99"/>
    <w:unhideWhenUsed/>
    <w:rPr>
      <w:vertAlign w:val="superscript"/>
    </w:rPr>
  </w:style>
  <w:style w:type="paragraph" w:styleId="572">
    <w:name w:val="toc 1"/>
    <w:uiPriority w:val="39"/>
    <w:unhideWhenUsed/>
    <w:pPr>
      <w:ind w:left="0" w:right="0" w:firstLine="0"/>
      <w:spacing w:after="57"/>
    </w:pPr>
  </w:style>
  <w:style w:type="paragraph" w:styleId="573">
    <w:name w:val="toc 2"/>
    <w:uiPriority w:val="39"/>
    <w:unhideWhenUsed/>
    <w:pPr>
      <w:ind w:left="283" w:right="0" w:firstLine="0"/>
      <w:spacing w:after="57"/>
    </w:pPr>
  </w:style>
  <w:style w:type="paragraph" w:styleId="574">
    <w:name w:val="toc 3"/>
    <w:uiPriority w:val="39"/>
    <w:unhideWhenUsed/>
    <w:pPr>
      <w:ind w:left="567" w:right="0" w:firstLine="0"/>
      <w:spacing w:after="57"/>
    </w:pPr>
  </w:style>
  <w:style w:type="paragraph" w:styleId="575">
    <w:name w:val="toc 4"/>
    <w:uiPriority w:val="39"/>
    <w:unhideWhenUsed/>
    <w:pPr>
      <w:ind w:left="850" w:right="0" w:firstLine="0"/>
      <w:spacing w:after="57"/>
    </w:pPr>
  </w:style>
  <w:style w:type="paragraph" w:styleId="576">
    <w:name w:val="toc 5"/>
    <w:uiPriority w:val="39"/>
    <w:unhideWhenUsed/>
    <w:pPr>
      <w:ind w:left="1134" w:right="0" w:firstLine="0"/>
      <w:spacing w:after="57"/>
    </w:pPr>
  </w:style>
  <w:style w:type="paragraph" w:styleId="577">
    <w:name w:val="toc 6"/>
    <w:uiPriority w:val="39"/>
    <w:unhideWhenUsed/>
    <w:pPr>
      <w:ind w:left="1417" w:right="0" w:firstLine="0"/>
      <w:spacing w:after="57"/>
    </w:pPr>
  </w:style>
  <w:style w:type="paragraph" w:styleId="578">
    <w:name w:val="toc 7"/>
    <w:uiPriority w:val="39"/>
    <w:unhideWhenUsed/>
    <w:pPr>
      <w:ind w:left="1701" w:right="0" w:firstLine="0"/>
      <w:spacing w:after="57"/>
    </w:pPr>
  </w:style>
  <w:style w:type="paragraph" w:styleId="579">
    <w:name w:val="toc 8"/>
    <w:uiPriority w:val="39"/>
    <w:unhideWhenUsed/>
    <w:pPr>
      <w:ind w:left="1984" w:right="0" w:firstLine="0"/>
      <w:spacing w:after="57"/>
    </w:pPr>
  </w:style>
  <w:style w:type="paragraph" w:styleId="580">
    <w:name w:val="toc 9"/>
    <w:uiPriority w:val="39"/>
    <w:unhideWhenUsed/>
    <w:pPr>
      <w:ind w:left="2268" w:right="0" w:firstLine="0"/>
      <w:spacing w:after="57"/>
    </w:pPr>
  </w:style>
  <w:style w:type="paragraph" w:styleId="581">
    <w:name w:val="TOC Heading"/>
    <w:uiPriority w:val="39"/>
    <w:unhideWhenUsed/>
  </w:style>
  <w:style w:type="paragraph" w:styleId="582">
    <w:name w:val="Обычный"/>
    <w:next w:val="582"/>
    <w:link w:val="582"/>
    <w:rPr>
      <w:sz w:val="24"/>
      <w:lang w:val="ru-RU" w:bidi="ar-SA" w:eastAsia="ru-RU"/>
    </w:rPr>
  </w:style>
  <w:style w:type="paragraph" w:styleId="583">
    <w:name w:val="Заголовок 1"/>
    <w:basedOn w:val="582"/>
    <w:next w:val="582"/>
    <w:link w:val="582"/>
    <w:rPr>
      <w:b/>
      <w:sz w:val="28"/>
    </w:rPr>
    <w:pPr>
      <w:ind w:firstLine="851"/>
      <w:keepNext/>
      <w:outlineLvl w:val="0"/>
    </w:pPr>
  </w:style>
  <w:style w:type="paragraph" w:styleId="584">
    <w:name w:val="Заголовок 2"/>
    <w:basedOn w:val="582"/>
    <w:next w:val="582"/>
    <w:link w:val="590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85">
    <w:name w:val="Заголовок 6"/>
    <w:basedOn w:val="582"/>
    <w:next w:val="582"/>
    <w:link w:val="582"/>
    <w:rPr>
      <w:b/>
      <w:bCs/>
      <w:sz w:val="22"/>
      <w:szCs w:val="22"/>
    </w:rPr>
    <w:pPr>
      <w:spacing w:after="60" w:before="240"/>
      <w:outlineLvl w:val="5"/>
    </w:pPr>
  </w:style>
  <w:style w:type="paragraph" w:styleId="586">
    <w:name w:val="Заголовок 9"/>
    <w:basedOn w:val="582"/>
    <w:next w:val="582"/>
    <w:link w:val="582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87">
    <w:name w:val="Основной шрифт абзаца, Знак Знак Знак Знак Знак Знак Знак Знак Знак Знак Знак Знак Знак Знак Знак Знак"/>
    <w:next w:val="587"/>
    <w:link w:val="582"/>
    <w:semiHidden/>
  </w:style>
  <w:style w:type="table" w:styleId="588">
    <w:name w:val="Обычная таблица"/>
    <w:next w:val="588"/>
    <w:link w:val="582"/>
    <w:semiHidden/>
    <w:tblPr/>
  </w:style>
  <w:style w:type="numbering" w:styleId="589">
    <w:name w:val="Нет списка"/>
    <w:next w:val="589"/>
    <w:link w:val="582"/>
    <w:semiHidden/>
  </w:style>
  <w:style w:type="character" w:styleId="590">
    <w:name w:val="Заголовок 2 Знак"/>
    <w:next w:val="590"/>
    <w:link w:val="584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1">
    <w:name w:val="Основной текст с отступом,Нумерованный список !!,Надин стиль,Основной текст 1,Основной текст без отступа Знак Знак"/>
    <w:basedOn w:val="582"/>
    <w:next w:val="591"/>
    <w:link w:val="592"/>
    <w:rPr>
      <w:sz w:val="28"/>
      <w:lang w:val="en-US" w:eastAsia="en-US"/>
    </w:rPr>
    <w:pPr>
      <w:ind w:firstLine="851"/>
      <w:jc w:val="both"/>
    </w:pPr>
  </w:style>
  <w:style w:type="character" w:styleId="592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2"/>
    <w:link w:val="591"/>
    <w:rPr>
      <w:sz w:val="28"/>
    </w:rPr>
  </w:style>
  <w:style w:type="paragraph" w:styleId="593">
    <w:name w:val="Основной текст с отступом 2"/>
    <w:basedOn w:val="582"/>
    <w:next w:val="593"/>
    <w:link w:val="582"/>
    <w:rPr>
      <w:u w:val="single"/>
    </w:rPr>
    <w:pPr>
      <w:ind w:firstLine="851"/>
      <w:jc w:val="both"/>
    </w:pPr>
  </w:style>
  <w:style w:type="paragraph" w:styleId="594">
    <w:name w:val="Основной текст с отступом 3"/>
    <w:basedOn w:val="582"/>
    <w:next w:val="594"/>
    <w:link w:val="582"/>
    <w:rPr>
      <w:sz w:val="16"/>
      <w:szCs w:val="16"/>
    </w:rPr>
    <w:pPr>
      <w:ind w:left="283"/>
      <w:spacing w:after="120"/>
    </w:pPr>
  </w:style>
  <w:style w:type="paragraph" w:styleId="595">
    <w:name w:val="Название"/>
    <w:basedOn w:val="582"/>
    <w:next w:val="595"/>
    <w:link w:val="582"/>
    <w:rPr>
      <w:b/>
      <w:sz w:val="28"/>
    </w:rPr>
    <w:pPr>
      <w:ind w:firstLine="720"/>
      <w:jc w:val="center"/>
      <w:spacing w:lineRule="auto" w:line="360"/>
    </w:pPr>
  </w:style>
  <w:style w:type="paragraph" w:styleId="596">
    <w:name w:val="Основной текст"/>
    <w:basedOn w:val="582"/>
    <w:next w:val="596"/>
    <w:link w:val="582"/>
    <w:rPr>
      <w:szCs w:val="24"/>
    </w:rPr>
    <w:pPr>
      <w:spacing w:after="120"/>
    </w:pPr>
  </w:style>
  <w:style w:type="table" w:styleId="597">
    <w:name w:val="Сетка таблицы"/>
    <w:basedOn w:val="588"/>
    <w:next w:val="597"/>
    <w:link w:val="582"/>
    <w:tblPr/>
  </w:style>
  <w:style w:type="paragraph" w:styleId="598">
    <w:name w:val=" Знак Знак Знак Знак Знак"/>
    <w:basedOn w:val="582"/>
    <w:next w:val="598"/>
    <w:link w:val="582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599">
    <w:name w:val=" Знак Знак Знак Знак Знак Знак"/>
    <w:basedOn w:val="582"/>
    <w:next w:val="599"/>
    <w:link w:val="582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0">
    <w:name w:val=" Знак Знак Знак Знак Знак Знак1 Знак Знак Знак"/>
    <w:basedOn w:val="582"/>
    <w:next w:val="600"/>
    <w:link w:val="582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1">
    <w:name w:val="Основной текст 2"/>
    <w:basedOn w:val="582"/>
    <w:next w:val="601"/>
    <w:link w:val="582"/>
    <w:rPr>
      <w:szCs w:val="24"/>
    </w:rPr>
    <w:pPr>
      <w:spacing w:lineRule="auto" w:line="480" w:after="120"/>
    </w:pPr>
  </w:style>
  <w:style w:type="paragraph" w:styleId="602">
    <w:name w:val="ConsPlusNonformat"/>
    <w:next w:val="602"/>
    <w:link w:val="582"/>
    <w:rPr>
      <w:rFonts w:ascii="Courier New" w:hAnsi="Courier New"/>
      <w:lang w:val="ru-RU" w:bidi="ar-SA" w:eastAsia="ru-RU"/>
    </w:rPr>
  </w:style>
  <w:style w:type="paragraph" w:styleId="603">
    <w:name w:val=" Знак Знак Знак Знак Знак Знак1 Знак"/>
    <w:basedOn w:val="582"/>
    <w:next w:val="603"/>
    <w:link w:val="582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4">
    <w:name w:val=" Знак Знак Знак Знак Знак Знак1 Знак Знак Знак Знак Знак Знак"/>
    <w:basedOn w:val="582"/>
    <w:next w:val="604"/>
    <w:link w:val="582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5">
    <w:name w:val=" Знак1 Знак Знак Знак"/>
    <w:basedOn w:val="582"/>
    <w:next w:val="605"/>
    <w:link w:val="582"/>
    <w:rPr>
      <w:rFonts w:ascii="Verdana" w:hAnsi="Verdana"/>
      <w:sz w:val="20"/>
      <w:lang w:val="en-US" w:eastAsia="en-US"/>
    </w:rPr>
  </w:style>
  <w:style w:type="paragraph" w:styleId="606">
    <w:name w:val="ЭЭГ"/>
    <w:basedOn w:val="582"/>
    <w:next w:val="606"/>
    <w:link w:val="582"/>
    <w:rPr>
      <w:szCs w:val="24"/>
    </w:rPr>
    <w:pPr>
      <w:ind w:firstLine="720"/>
      <w:jc w:val="both"/>
      <w:spacing w:lineRule="auto" w:line="360"/>
    </w:pPr>
  </w:style>
  <w:style w:type="paragraph" w:styleId="607">
    <w:name w:val="ConsPlusNormal"/>
    <w:next w:val="607"/>
    <w:link w:val="582"/>
    <w:rPr>
      <w:rFonts w:ascii="Arial" w:hAnsi="Arial"/>
      <w:lang w:val="ru-RU" w:bidi="ar-SA" w:eastAsia="ru-RU"/>
    </w:rPr>
    <w:pPr>
      <w:ind w:firstLine="720"/>
    </w:pPr>
  </w:style>
  <w:style w:type="paragraph" w:styleId="608">
    <w:name w:val="Красная строка 2"/>
    <w:basedOn w:val="591"/>
    <w:next w:val="608"/>
    <w:link w:val="582"/>
    <w:rPr>
      <w:sz w:val="24"/>
    </w:rPr>
    <w:pPr>
      <w:ind w:left="283" w:firstLine="210"/>
      <w:jc w:val="left"/>
      <w:spacing w:after="120"/>
    </w:pPr>
  </w:style>
  <w:style w:type="character" w:styleId="609">
    <w:name w:val="Красная строка 2 Знак"/>
    <w:basedOn w:val="592"/>
    <w:next w:val="609"/>
    <w:link w:val="608"/>
  </w:style>
  <w:style w:type="paragraph" w:styleId="610">
    <w:name w:val="Мой стиль"/>
    <w:basedOn w:val="582"/>
    <w:next w:val="610"/>
    <w:link w:val="582"/>
    <w:rPr>
      <w:sz w:val="28"/>
      <w:szCs w:val="28"/>
    </w:rPr>
    <w:pPr>
      <w:ind w:firstLine="567"/>
      <w:jc w:val="both"/>
      <w:spacing w:lineRule="auto" w:line="360"/>
    </w:pPr>
  </w:style>
  <w:style w:type="character" w:styleId="611">
    <w:name w:val="Font Style34"/>
    <w:next w:val="611"/>
    <w:link w:val="582"/>
    <w:rPr>
      <w:rFonts w:ascii="Times New Roman" w:hAnsi="Times New Roman"/>
      <w:sz w:val="24"/>
      <w:szCs w:val="24"/>
    </w:rPr>
  </w:style>
  <w:style w:type="paragraph" w:styleId="612">
    <w:name w:val="ConsNormal"/>
    <w:next w:val="612"/>
    <w:link w:val="5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3">
    <w:name w:val="Основной текст с отступом.Нумерованный список !!.Надин стиль.Основной текст 1"/>
    <w:basedOn w:val="582"/>
    <w:next w:val="613"/>
    <w:link w:val="582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14">
    <w:name w:val="NormalANX"/>
    <w:basedOn w:val="582"/>
    <w:next w:val="614"/>
    <w:link w:val="582"/>
    <w:rPr>
      <w:sz w:val="28"/>
    </w:rPr>
    <w:pPr>
      <w:ind w:firstLine="720"/>
      <w:jc w:val="both"/>
      <w:spacing w:lineRule="auto" w:line="360" w:after="240" w:before="240"/>
    </w:pPr>
  </w:style>
  <w:style w:type="paragraph" w:styleId="615">
    <w:name w:val="ConsPlusTitle"/>
    <w:next w:val="615"/>
    <w:link w:val="582"/>
    <w:rPr>
      <w:rFonts w:ascii="Arial" w:hAnsi="Arial"/>
      <w:b/>
      <w:bCs/>
      <w:lang w:val="ru-RU" w:bidi="ar-SA" w:eastAsia="ru-RU"/>
    </w:rPr>
  </w:style>
  <w:style w:type="paragraph" w:styleId="616">
    <w:name w:val="Верхний колонтитул"/>
    <w:basedOn w:val="582"/>
    <w:next w:val="616"/>
    <w:link w:val="617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17">
    <w:name w:val="Верхний колонтитул Знак"/>
    <w:next w:val="617"/>
    <w:link w:val="616"/>
    <w:rPr>
      <w:sz w:val="24"/>
    </w:rPr>
  </w:style>
  <w:style w:type="paragraph" w:styleId="618">
    <w:name w:val="Нижний колонтитул, Знак"/>
    <w:basedOn w:val="582"/>
    <w:next w:val="618"/>
    <w:link w:val="619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19">
    <w:name w:val="Нижний колонтитул Знак, Знак Знак"/>
    <w:next w:val="619"/>
    <w:link w:val="618"/>
    <w:semiHidden/>
    <w:rPr>
      <w:sz w:val="24"/>
    </w:rPr>
  </w:style>
  <w:style w:type="paragraph" w:styleId="620">
    <w:name w:val=" Знак Знак Знак Знак Знак Знак Знак Знак Знак Знак Знак Знак Знак Знак Знак"/>
    <w:basedOn w:val="582"/>
    <w:next w:val="620"/>
    <w:link w:val="582"/>
    <w:rPr>
      <w:rFonts w:ascii="Verdana" w:hAnsi="Verdana"/>
      <w:sz w:val="20"/>
      <w:lang w:val="en-US" w:eastAsia="en-US"/>
    </w:rPr>
  </w:style>
  <w:style w:type="paragraph" w:styleId="621">
    <w:name w:val="Стиль1"/>
    <w:basedOn w:val="582"/>
    <w:next w:val="621"/>
    <w:link w:val="622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2">
    <w:name w:val="Стиль1 Знак"/>
    <w:next w:val="622"/>
    <w:link w:val="621"/>
    <w:rPr>
      <w:color w:val="000000"/>
      <w:sz w:val="28"/>
      <w:szCs w:val="28"/>
      <w:lang w:val="ru-RU" w:bidi="ar-SA" w:eastAsia="ru-RU"/>
    </w:rPr>
  </w:style>
  <w:style w:type="paragraph" w:styleId="623">
    <w:name w:val=" Знак Знак Знак Знак Знак Знак Знак Знак Знак Знак Знак"/>
    <w:basedOn w:val="582"/>
    <w:next w:val="623"/>
    <w:link w:val="582"/>
    <w:rPr>
      <w:rFonts w:ascii="Verdana" w:hAnsi="Verdana"/>
      <w:sz w:val="20"/>
      <w:lang w:val="en-US" w:eastAsia="en-US"/>
    </w:rPr>
  </w:style>
  <w:style w:type="paragraph" w:styleId="624">
    <w:name w:val="Обычный + Черный"/>
    <w:basedOn w:val="582"/>
    <w:next w:val="624"/>
    <w:link w:val="625"/>
    <w:rPr>
      <w:color w:val="000000"/>
      <w:szCs w:val="24"/>
    </w:rPr>
    <w:pPr>
      <w:ind w:firstLine="709"/>
      <w:jc w:val="both"/>
    </w:pPr>
  </w:style>
  <w:style w:type="character" w:styleId="625">
    <w:name w:val="Обычный + Черный Знак"/>
    <w:next w:val="625"/>
    <w:link w:val="624"/>
    <w:rPr>
      <w:color w:val="000000"/>
      <w:sz w:val="24"/>
      <w:szCs w:val="24"/>
      <w:lang w:val="ru-RU" w:bidi="ar-SA" w:eastAsia="ru-RU"/>
    </w:rPr>
  </w:style>
  <w:style w:type="paragraph" w:styleId="626">
    <w:name w:val="стиль 20"/>
    <w:basedOn w:val="582"/>
    <w:next w:val="626"/>
    <w:link w:val="627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27">
    <w:name w:val="стиль 20 Знак"/>
    <w:next w:val="627"/>
    <w:link w:val="626"/>
    <w:rPr>
      <w:sz w:val="28"/>
    </w:rPr>
  </w:style>
  <w:style w:type="paragraph" w:styleId="628">
    <w:name w:val="Абзац списка"/>
    <w:basedOn w:val="582"/>
    <w:next w:val="628"/>
    <w:link w:val="582"/>
    <w:rPr>
      <w:szCs w:val="24"/>
    </w:rPr>
    <w:pPr>
      <w:contextualSpacing w:val="true"/>
      <w:ind w:left="720"/>
    </w:pPr>
  </w:style>
  <w:style w:type="character" w:styleId="629">
    <w:name w:val="Гиперссылка"/>
    <w:next w:val="629"/>
    <w:link w:val="582"/>
    <w:semiHidden/>
    <w:rPr>
      <w:color w:val="0000FF"/>
      <w:u w:val="single"/>
    </w:rPr>
  </w:style>
  <w:style w:type="paragraph" w:styleId="630">
    <w:name w:val="Текст выноски"/>
    <w:basedOn w:val="582"/>
    <w:next w:val="630"/>
    <w:link w:val="631"/>
    <w:semiHidden/>
    <w:rPr>
      <w:rFonts w:ascii="Tahoma" w:hAnsi="Tahoma"/>
      <w:sz w:val="16"/>
      <w:szCs w:val="16"/>
    </w:rPr>
  </w:style>
  <w:style w:type="character" w:styleId="631">
    <w:name w:val="Текст выноски Знак"/>
    <w:next w:val="631"/>
    <w:link w:val="630"/>
    <w:semiHidden/>
    <w:rPr>
      <w:rFonts w:ascii="Tahoma" w:hAnsi="Tahoma"/>
      <w:sz w:val="16"/>
      <w:szCs w:val="16"/>
    </w:rPr>
  </w:style>
  <w:style w:type="character" w:styleId="632" w:default="1">
    <w:name w:val="Default Paragraph Font"/>
    <w:uiPriority w:val="1"/>
    <w:semiHidden/>
    <w:unhideWhenUsed/>
  </w:style>
  <w:style w:type="numbering" w:styleId="633" w:default="1">
    <w:name w:val="No List"/>
    <w:uiPriority w:val="99"/>
    <w:semiHidden/>
    <w:unhideWhenUsed/>
  </w:style>
  <w:style w:type="paragraph" w:styleId="634" w:default="1">
    <w:name w:val="Normal"/>
    <w:qFormat/>
  </w:style>
  <w:style w:type="table" w:styleId="6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2020-11-16T15:13:03Z</dcterms:modified>
</cp:coreProperties>
</file>