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П</w:t>
      </w:r>
      <w:r>
        <w:rPr>
          <w:b/>
          <w:szCs w:val="24"/>
        </w:rPr>
        <w:t xml:space="preserve">ОЯСНИТЕЛЬНАЯ ЗАПИСКА</w:t>
      </w:r>
      <w:r>
        <w:rPr>
          <w:b/>
          <w:szCs w:val="24"/>
        </w:rPr>
      </w:r>
      <w:r/>
    </w:p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К ПРОЕКТУ БЮДЖЕТА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</w:r>
      <w:r/>
    </w:p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  <w:t xml:space="preserve"> НА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20</w:t>
      </w:r>
      <w:r>
        <w:rPr>
          <w:b/>
          <w:szCs w:val="24"/>
        </w:rPr>
        <w:t xml:space="preserve">22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ГОД</w:t>
      </w:r>
      <w:r>
        <w:rPr>
          <w:b/>
          <w:szCs w:val="24"/>
        </w:rPr>
      </w:r>
      <w:r/>
    </w:p>
    <w:p>
      <w:pPr>
        <w:pStyle w:val="584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4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szCs w:val="24"/>
        </w:rPr>
        <w:t xml:space="preserve">        </w:t>
      </w:r>
      <w:r>
        <w:rPr>
          <w:szCs w:val="24"/>
        </w:rPr>
        <w:t xml:space="preserve">Проект 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на очередной финансовый год </w:t>
      </w:r>
      <w:r>
        <w:rPr>
          <w:szCs w:val="24"/>
        </w:rPr>
        <w:t xml:space="preserve">(далее – проект Решения) </w:t>
      </w:r>
      <w:r>
        <w:rPr>
          <w:szCs w:val="24"/>
        </w:rPr>
        <w:t xml:space="preserve">разработан в соответствии с Бюджетным кодексом Российской Федерации, </w:t>
      </w:r>
      <w:r>
        <w:rPr>
          <w:szCs w:val="24"/>
        </w:rPr>
        <w:t xml:space="preserve">нормами федерального и республиканского законодательства и </w:t>
      </w:r>
      <w:r>
        <w:rPr>
          <w:szCs w:val="24"/>
        </w:rPr>
        <w:t xml:space="preserve">основными направлениями </w:t>
      </w:r>
      <w:r>
        <w:rPr>
          <w:szCs w:val="24"/>
        </w:rPr>
        <w:t xml:space="preserve">бюджетной и налоговой политики.</w:t>
      </w:r>
      <w:r>
        <w:rPr>
          <w:szCs w:val="24"/>
        </w:rPr>
      </w:r>
      <w:r/>
    </w:p>
    <w:p>
      <w:pPr>
        <w:pStyle w:val="584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4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1. </w:t>
      </w:r>
      <w:r>
        <w:rPr>
          <w:b/>
          <w:color w:val="000000"/>
          <w:szCs w:val="24"/>
        </w:rPr>
        <w:t xml:space="preserve">ПРАВОВЫЕ ОСНОВЫ ФОРМИРОВАНИЯ ПРОЕКТА</w:t>
      </w:r>
      <w:r>
        <w:rPr>
          <w:b/>
          <w:color w:val="000000"/>
          <w:szCs w:val="24"/>
        </w:rPr>
      </w:r>
      <w:r/>
    </w:p>
    <w:p>
      <w:pPr>
        <w:pStyle w:val="584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РЕШЕНИЯ СОВЕТА </w:t>
      </w:r>
      <w:r>
        <w:rPr>
          <w:b/>
          <w:color w:val="000000"/>
          <w:szCs w:val="24"/>
        </w:rPr>
        <w:t xml:space="preserve">«О БЮДЖЕТЕ </w:t>
      </w:r>
      <w:r>
        <w:rPr>
          <w:b/>
          <w:color w:val="000000"/>
          <w:szCs w:val="24"/>
        </w:rPr>
        <w:t xml:space="preserve">ЭЛИСЕНВААРСКОГО</w:t>
      </w:r>
      <w:r>
        <w:rPr>
          <w:b/>
          <w:color w:val="000000"/>
          <w:szCs w:val="24"/>
        </w:rPr>
        <w:t xml:space="preserve"> СЕЛЬСКОГО</w:t>
      </w:r>
      <w:r>
        <w:rPr>
          <w:b/>
          <w:color w:val="000000"/>
          <w:szCs w:val="24"/>
        </w:rPr>
        <w:t xml:space="preserve"> ПОСЕЛЕНИЯ </w:t>
      </w:r>
      <w:r>
        <w:rPr>
          <w:b/>
          <w:color w:val="000000"/>
          <w:szCs w:val="24"/>
        </w:rPr>
        <w:t xml:space="preserve">НА 20</w:t>
      </w:r>
      <w:r>
        <w:rPr>
          <w:b/>
          <w:color w:val="000000"/>
          <w:szCs w:val="24"/>
        </w:rPr>
        <w:t xml:space="preserve">22</w:t>
      </w:r>
      <w:r>
        <w:rPr>
          <w:b/>
          <w:color w:val="000000"/>
          <w:szCs w:val="24"/>
        </w:rPr>
        <w:t xml:space="preserve"> ГОД</w:t>
      </w:r>
      <w:r>
        <w:rPr>
          <w:b/>
          <w:color w:val="000000"/>
          <w:szCs w:val="24"/>
        </w:rPr>
        <w:t xml:space="preserve">»</w:t>
      </w:r>
      <w:r/>
    </w:p>
    <w:p>
      <w:pPr>
        <w:pStyle w:val="584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Проект р</w:t>
      </w:r>
      <w:r>
        <w:rPr>
          <w:color w:val="000000"/>
          <w:szCs w:val="24"/>
        </w:rPr>
        <w:t xml:space="preserve">ешени</w:t>
      </w:r>
      <w:r>
        <w:rPr>
          <w:color w:val="000000"/>
          <w:szCs w:val="24"/>
        </w:rPr>
        <w:t xml:space="preserve">я Совета Элисенваарского сельского поселения </w:t>
      </w:r>
      <w:r>
        <w:rPr>
          <w:color w:val="000000"/>
          <w:szCs w:val="24"/>
        </w:rPr>
        <w:t xml:space="preserve">«О бюджете </w:t>
      </w:r>
      <w:r>
        <w:rPr>
          <w:color w:val="000000"/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сельского поселения на 20</w:t>
      </w:r>
      <w:r>
        <w:rPr>
          <w:color w:val="000000"/>
          <w:szCs w:val="24"/>
        </w:rPr>
        <w:t xml:space="preserve">22</w:t>
      </w:r>
      <w:r>
        <w:rPr>
          <w:color w:val="000000"/>
          <w:szCs w:val="24"/>
        </w:rPr>
        <w:t xml:space="preserve"> год»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(далее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- Проект решения) 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подготовлен</w:t>
      </w:r>
      <w:r>
        <w:rPr>
          <w:color w:val="000000"/>
          <w:szCs w:val="24"/>
        </w:rPr>
        <w:t xml:space="preserve">о</w:t>
      </w:r>
      <w:r>
        <w:rPr>
          <w:color w:val="000000"/>
          <w:szCs w:val="24"/>
        </w:rPr>
        <w:t xml:space="preserve"> в соответствии с требованиями Бюджетного кодекса Российской Федерации (далее – Бюджетный кодекс).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Общие требования к структуре и содержанию решения о бюджете установлены статьей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кодекса.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1. Пунктом 1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бюджета). Указанные параметры бюджета установлены пунктом 1   предложенного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В соответствии с пунктом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пунктом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установлен верхний предел муниципального внутреннего долга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, в том числе по муниципальным гарантиям.</w:t>
      </w:r>
      <w:r>
        <w:rPr>
          <w:color w:val="000000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2. Доходы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сформированы в соответствии с бюджетным законодательством Российской Федерации, законодательством Российской Федерации и Республики Карелия о налогах и сборах и законодательством об иных обязательных платежах (статья 39 Бюджетного кодекса).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3. В соответствии с положениями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  <w:vertAlign w:val="superscript"/>
        </w:rPr>
        <w:t xml:space="preserve"> </w:t>
      </w:r>
      <w:r>
        <w:rPr>
          <w:color w:val="000000"/>
          <w:szCs w:val="24"/>
        </w:rPr>
        <w:t xml:space="preserve">Бюджетного кодекса пунктами 3 и 4 и приложениями 1 и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утверждаются перечень и коды главных </w:t>
      </w:r>
      <w:r>
        <w:rPr>
          <w:color w:val="000000"/>
          <w:szCs w:val="24"/>
        </w:rPr>
        <w:t xml:space="preserve">администраторов доходов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и перечень</w:t>
      </w:r>
      <w:r>
        <w:rPr>
          <w:color w:val="000000"/>
          <w:szCs w:val="24"/>
        </w:rPr>
        <w:t xml:space="preserve"> главных администраторов источников финансирования дефицита бюджета </w:t>
      </w:r>
      <w:r>
        <w:rPr>
          <w:sz w:val="22"/>
          <w:szCs w:val="22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а также перечни закрепляемых за ними доходов и источников финансирования дефицита бюджета </w:t>
      </w:r>
      <w:r>
        <w:rPr>
          <w:sz w:val="22"/>
          <w:szCs w:val="22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22</w:t>
      </w:r>
      <w:r>
        <w:rPr>
          <w:color w:val="000000"/>
          <w:szCs w:val="24"/>
        </w:rPr>
        <w:t xml:space="preserve"> год.  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. В соответствии с частью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предлагается утвердить: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ведомственную структуру</w:t>
      </w:r>
      <w:r>
        <w:rPr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Cs w:val="24"/>
        </w:rPr>
        <w:t xml:space="preserve"> классификации расходов бюджета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6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р</w:t>
      </w:r>
      <w:r>
        <w:rPr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7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 Р</w:t>
      </w:r>
      <w:r>
        <w:rPr>
          <w:color w:val="000000"/>
          <w:szCs w:val="24"/>
        </w:rPr>
        <w:t xml:space="preserve">ешения закрепляется запрет на принятие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решений, приводящих к увеличению в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22</w:t>
      </w:r>
      <w:r>
        <w:rPr>
          <w:color w:val="000000"/>
          <w:szCs w:val="24"/>
        </w:rPr>
        <w:t xml:space="preserve"> году численности муниципальных служащих и работников муниципальных казенных учреждений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за исключением случаев изменения функций органов местного </w:t>
      </w:r>
      <w:r>
        <w:rPr>
          <w:rStyle w:val="627"/>
        </w:rPr>
        <w:t xml:space="preserve">самоуправления </w:t>
      </w:r>
      <w:r>
        <w:rPr>
          <w:rStyle w:val="627"/>
        </w:rPr>
        <w:t xml:space="preserve">Элисенваарского</w:t>
      </w:r>
      <w:r>
        <w:rPr>
          <w:rStyle w:val="627"/>
        </w:rPr>
        <w:t xml:space="preserve"> сельского</w:t>
      </w:r>
      <w:r>
        <w:rPr>
          <w:rStyle w:val="627"/>
        </w:rPr>
        <w:t xml:space="preserve"> поселения, муниципальных казенных учреждений </w:t>
      </w:r>
      <w:r>
        <w:rPr>
          <w:rStyle w:val="627"/>
        </w:rPr>
        <w:t xml:space="preserve">Элисенваарского </w:t>
      </w:r>
      <w:r>
        <w:rPr>
          <w:rStyle w:val="627"/>
        </w:rPr>
        <w:t xml:space="preserve">сельского</w:t>
      </w:r>
      <w:r>
        <w:rPr>
          <w:rStyle w:val="627"/>
        </w:rPr>
        <w:t xml:space="preserve"> поселения.</w:t>
      </w:r>
      <w:r>
        <w:rPr>
          <w:color w:val="000000"/>
          <w:szCs w:val="24"/>
        </w:rPr>
        <w:t xml:space="preserve"> 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6</w:t>
      </w:r>
      <w:r>
        <w:rPr>
          <w:color w:val="000000"/>
          <w:szCs w:val="24"/>
        </w:rPr>
        <w:t xml:space="preserve">. В соответствии с частью 1 и 6 статьи 107, частью 3 статьи 108</w:t>
      </w:r>
      <w:r>
        <w:rPr>
          <w:color w:val="000000"/>
          <w:szCs w:val="24"/>
        </w:rPr>
        <w:t xml:space="preserve">.2</w:t>
      </w:r>
      <w:r>
        <w:rPr>
          <w:color w:val="000000"/>
          <w:szCs w:val="24"/>
        </w:rPr>
        <w:t xml:space="preserve">, статьей 111 Бюджетного кодекса утверждаются:</w:t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предельный объем муниципального долга </w:t>
      </w:r>
      <w:r>
        <w:rPr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сельского</w:t>
      </w:r>
      <w:r>
        <w:rPr>
          <w:color w:val="000000"/>
          <w:szCs w:val="24"/>
        </w:rPr>
        <w:t xml:space="preserve"> поселения 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2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626"/>
        <w:spacing w:lineRule="auto" w:line="360"/>
        <w:rPr>
          <w:highlight w:val="yellow"/>
        </w:rPr>
      </w:pPr>
      <w:r/>
      <w:bookmarkStart w:id="0" w:name="OLE_LINK1"/>
      <w:r>
        <w:t xml:space="preserve"> - </w:t>
      </w:r>
      <w:r>
        <w:t xml:space="preserve">предельный объем расходов на обслуживание муниципального долга </w:t>
      </w:r>
      <w:r>
        <w:rPr>
          <w:szCs w:val="22"/>
        </w:rPr>
        <w:t xml:space="preserve">Элисенваарского</w:t>
      </w:r>
      <w:r>
        <w:t xml:space="preserve"> </w:t>
      </w:r>
      <w:r>
        <w:t xml:space="preserve">сельского</w:t>
      </w:r>
      <w:r>
        <w:t xml:space="preserve"> поселения – пунктом </w:t>
      </w:r>
      <w:r>
        <w:t xml:space="preserve">1</w:t>
      </w:r>
      <w:r>
        <w:t xml:space="preserve">3</w:t>
      </w:r>
      <w:r>
        <w:t xml:space="preserve"> </w:t>
      </w:r>
      <w:r>
        <w:t xml:space="preserve">Р</w:t>
      </w:r>
      <w:r>
        <w:t xml:space="preserve">ешения.</w:t>
      </w:r>
      <w:r>
        <w:rPr>
          <w:highlight w:val="yellow"/>
        </w:rPr>
      </w:r>
      <w:r/>
    </w:p>
    <w:p>
      <w:pPr>
        <w:pStyle w:val="626"/>
        <w:spacing w:lineRule="auto" w:line="360"/>
      </w:pPr>
      <w:r/>
      <w:bookmarkEnd w:id="0"/>
      <w:r>
        <w:t xml:space="preserve">7. Пунктом</w:t>
      </w:r>
      <w:r>
        <w:t xml:space="preserve"> </w:t>
      </w:r>
      <w:r>
        <w:t xml:space="preserve">1</w:t>
      </w:r>
      <w:r>
        <w:t xml:space="preserve">4</w:t>
      </w:r>
      <w:r>
        <w:t xml:space="preserve"> и приложением </w:t>
      </w:r>
      <w:r>
        <w:t xml:space="preserve">5 </w:t>
      </w:r>
      <w:r>
        <w:t xml:space="preserve">Р</w:t>
      </w:r>
      <w:r>
        <w:t xml:space="preserve">ешения в соответствии со статьей 184</w:t>
      </w:r>
      <w:r>
        <w:t xml:space="preserve">.1</w:t>
      </w:r>
      <w:r>
        <w:t xml:space="preserve"> Бюджетного кодекса утве</w:t>
      </w:r>
      <w:r>
        <w:t xml:space="preserve">р</w:t>
      </w:r>
      <w:r>
        <w:t xml:space="preserve">ждаются источники финансирования дефицита</w:t>
      </w:r>
      <w:r>
        <w:t xml:space="preserve"> </w:t>
      </w:r>
      <w:r>
        <w:t xml:space="preserve">бюджета </w:t>
      </w:r>
      <w:r>
        <w:rPr>
          <w:szCs w:val="22"/>
        </w:rPr>
        <w:t xml:space="preserve">Элисенваарского</w:t>
      </w:r>
      <w:r>
        <w:t xml:space="preserve"> сельского</w:t>
      </w:r>
      <w:r>
        <w:t xml:space="preserve"> поселения.</w:t>
      </w:r>
      <w:r/>
    </w:p>
    <w:p>
      <w:pPr>
        <w:pStyle w:val="584"/>
        <w:ind w:firstLine="709"/>
        <w:jc w:val="both"/>
        <w:spacing w:lineRule="auto" w:line="360"/>
        <w:rPr>
          <w:color w:val="000000"/>
        </w:rPr>
      </w:pPr>
      <w:r>
        <w:rPr>
          <w:color w:val="000000"/>
          <w:szCs w:val="24"/>
        </w:rPr>
        <w:t xml:space="preserve">8. </w:t>
      </w:r>
      <w:r>
        <w:rPr>
          <w:color w:val="000000"/>
        </w:rPr>
        <w:t xml:space="preserve">П</w:t>
      </w:r>
      <w:r>
        <w:rPr>
          <w:color w:val="000000"/>
        </w:rPr>
        <w:t xml:space="preserve">роект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не содержит отдельной статьи о вступлении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в силу,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  <w:r/>
    </w:p>
    <w:p>
      <w:pPr>
        <w:pStyle w:val="593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93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ОСНОВНЫЕ ХАРАКТЕРИСТИКИ ПРОЕКТА БЮДЖЕТА</w:t>
      </w:r>
      <w:r/>
    </w:p>
    <w:p>
      <w:pPr>
        <w:pStyle w:val="593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ЭЛИСЕНВААРСКОГО</w:t>
      </w:r>
      <w:r>
        <w:rPr>
          <w:b/>
          <w:sz w:val="24"/>
          <w:szCs w:val="24"/>
        </w:rPr>
        <w:t xml:space="preserve"> СЕЛЬСКОГО</w:t>
      </w:r>
      <w:r>
        <w:rPr>
          <w:b/>
          <w:sz w:val="24"/>
          <w:szCs w:val="24"/>
        </w:rPr>
        <w:t xml:space="preserve"> ПОСЕЛЕНИЯ</w:t>
      </w:r>
      <w:r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20</w:t>
      </w:r>
      <w:r>
        <w:rPr>
          <w:b/>
          <w:sz w:val="24"/>
          <w:szCs w:val="24"/>
          <w:lang w:val="ru-RU"/>
        </w:rPr>
        <w:t xml:space="preserve">22</w:t>
      </w:r>
      <w:r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</w:r>
      <w:r/>
    </w:p>
    <w:p>
      <w:pPr>
        <w:pStyle w:val="593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84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Основные характеристики проекта бюджета </w:t>
      </w:r>
      <w:r>
        <w:rPr>
          <w:szCs w:val="24"/>
        </w:rPr>
        <w:t xml:space="preserve">Элисенваарского 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 сформированы </w:t>
      </w:r>
      <w:r>
        <w:rPr>
          <w:szCs w:val="24"/>
        </w:rPr>
        <w:t xml:space="preserve">на основе</w:t>
      </w:r>
      <w:r>
        <w:rPr>
          <w:szCs w:val="24"/>
        </w:rPr>
        <w:t xml:space="preserve"> </w:t>
      </w:r>
      <w:r>
        <w:rPr>
          <w:szCs w:val="24"/>
        </w:rPr>
        <w:t xml:space="preserve">направлений</w:t>
      </w:r>
      <w:r>
        <w:rPr>
          <w:szCs w:val="24"/>
        </w:rPr>
        <w:t xml:space="preserve"> налоговой </w:t>
      </w:r>
      <w:r>
        <w:rPr>
          <w:szCs w:val="24"/>
        </w:rPr>
        <w:t xml:space="preserve">и бюджетной </w:t>
      </w:r>
      <w:r>
        <w:rPr>
          <w:szCs w:val="24"/>
        </w:rPr>
        <w:t xml:space="preserve">политик </w:t>
      </w:r>
      <w:r>
        <w:rPr>
          <w:szCs w:val="24"/>
        </w:rPr>
        <w:t xml:space="preserve">Элисенваарского  сельского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szCs w:val="24"/>
        </w:rPr>
        <w:t xml:space="preserve">которые</w:t>
      </w:r>
      <w:r>
        <w:rPr>
          <w:szCs w:val="24"/>
        </w:rPr>
        <w:t xml:space="preserve"> характеризуются следующими данными:</w:t>
      </w:r>
      <w:r>
        <w:rPr>
          <w:szCs w:val="24"/>
        </w:rPr>
        <w:t xml:space="preserve"> </w:t>
      </w:r>
      <w:r>
        <w:rPr>
          <w:szCs w:val="24"/>
        </w:rPr>
      </w:r>
      <w:r/>
    </w:p>
    <w:p>
      <w:pPr>
        <w:pStyle w:val="584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4"/>
        <w:ind w:firstLine="709"/>
        <w:jc w:val="right"/>
        <w:spacing w:lineRule="auto" w:line="360"/>
        <w:rPr>
          <w:sz w:val="20"/>
        </w:rPr>
      </w:pPr>
      <w:r>
        <w:rPr>
          <w:sz w:val="20"/>
        </w:rPr>
        <w:t xml:space="preserve">тыс.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/>
    </w:p>
    <w:tbl>
      <w:tblPr>
        <w:tblpPr w:horzAnchor="text" w:tblpXSpec="left" w:vertAnchor="text" w:tblpY="1" w:leftFromText="180" w:topFromText="0" w:rightFromText="180" w:bottomFromText="0"/>
        <w:tblW w:w="9356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127"/>
        <w:gridCol w:w="2268"/>
        <w:gridCol w:w="2268"/>
        <w:gridCol w:w="2693"/>
      </w:tblGrid>
      <w:tr>
        <w:trPr>
          <w:trHeight w:val="894"/>
          <w:tblHeader/>
        </w:trPr>
        <w:tc>
          <w:tcPr>
            <w:tcBorders>
              <w:top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 Наименование</w:t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2021</w:t>
            </w:r>
            <w:r>
              <w:rPr>
                <w:b/>
                <w:szCs w:val="24"/>
              </w:rPr>
              <w:t xml:space="preserve"> год (план)</w:t>
            </w:r>
            <w:r>
              <w:rPr>
                <w:b/>
                <w:szCs w:val="24"/>
              </w:rPr>
              <w:t xml:space="preserve">*</w:t>
            </w:r>
            <w:r>
              <w:rPr>
                <w:b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22</w:t>
            </w:r>
            <w:r>
              <w:rPr>
                <w:b/>
                <w:szCs w:val="24"/>
              </w:rPr>
              <w:t xml:space="preserve"> год (прогноз)</w:t>
            </w:r>
            <w:r/>
          </w:p>
        </w:tc>
        <w:tc>
          <w:tcPr>
            <w:tcBorders>
              <w:top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Отклонения прогноза </w:t>
            </w: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22</w:t>
            </w:r>
            <w:r>
              <w:rPr>
                <w:b/>
                <w:szCs w:val="24"/>
              </w:rPr>
              <w:t xml:space="preserve"> года от плана 2021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года</w:t>
            </w:r>
            <w:r>
              <w:rPr>
                <w:b/>
                <w:szCs w:val="24"/>
              </w:rPr>
            </w:r>
            <w:r/>
          </w:p>
        </w:tc>
      </w:tr>
      <w:tr>
        <w:trPr>
          <w:trHeight w:val="502"/>
        </w:trPr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Доходы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4 717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65</w:t>
            </w:r>
            <w:r>
              <w:rPr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4 180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84</w:t>
            </w:r>
            <w:r>
              <w:rPr>
                <w:szCs w:val="24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536</w:t>
            </w:r>
            <w:r>
              <w:rPr>
                <w:szCs w:val="24"/>
              </w:rPr>
              <w:t xml:space="preserve">,81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7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Расходы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6 230</w:t>
            </w:r>
            <w:r>
              <w:rPr>
                <w:szCs w:val="24"/>
              </w:rPr>
              <w:t xml:space="preserve">,</w:t>
            </w:r>
            <w:r>
              <w:rPr>
                <w:szCs w:val="24"/>
              </w:rPr>
              <w:t xml:space="preserve">20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4 562</w:t>
            </w:r>
            <w:r>
              <w:rPr>
                <w:szCs w:val="24"/>
              </w:rPr>
              <w:t xml:space="preserve">,50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1 667</w:t>
            </w:r>
            <w:r>
              <w:rPr>
                <w:szCs w:val="24"/>
              </w:rPr>
              <w:t xml:space="preserve">,70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0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Дефицит (-), профицит (+)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1 512,55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381</w:t>
            </w:r>
            <w:r>
              <w:rPr>
                <w:szCs w:val="24"/>
              </w:rPr>
              <w:t xml:space="preserve">,6</w:t>
            </w:r>
            <w:r>
              <w:rPr>
                <w:szCs w:val="24"/>
              </w:rPr>
              <w:t xml:space="preserve">6</w:t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1 130</w:t>
            </w:r>
            <w:r>
              <w:rPr>
                <w:szCs w:val="24"/>
              </w:rPr>
              <w:t xml:space="preserve">,89</w:t>
            </w:r>
            <w:r/>
          </w:p>
        </w:tc>
      </w:tr>
    </w:tbl>
    <w:p>
      <w:pPr>
        <w:pStyle w:val="584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* здесь и далее: - сводная бюд</w:t>
      </w:r>
      <w:r>
        <w:rPr>
          <w:szCs w:val="24"/>
        </w:rPr>
        <w:t xml:space="preserve">жетная роспись по состоянию на 11</w:t>
      </w:r>
      <w:r>
        <w:rPr>
          <w:szCs w:val="24"/>
        </w:rPr>
        <w:t xml:space="preserve"> </w:t>
      </w:r>
      <w:r>
        <w:rPr>
          <w:szCs w:val="24"/>
        </w:rPr>
        <w:t xml:space="preserve">ноября</w:t>
      </w:r>
      <w:r>
        <w:rPr>
          <w:szCs w:val="24"/>
        </w:rPr>
        <w:t xml:space="preserve"> 2021</w:t>
      </w:r>
      <w:r>
        <w:rPr>
          <w:szCs w:val="24"/>
        </w:rPr>
        <w:t xml:space="preserve"> года</w:t>
      </w: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Основные характеристики бюджета поселения  на 20</w:t>
      </w:r>
      <w:r>
        <w:rPr>
          <w:szCs w:val="24"/>
        </w:rPr>
        <w:t xml:space="preserve">22</w:t>
      </w:r>
      <w:r>
        <w:rPr>
          <w:szCs w:val="24"/>
        </w:rPr>
        <w:t xml:space="preserve"> год определены по доходам в сумме </w:t>
      </w:r>
      <w:r>
        <w:rPr>
          <w:szCs w:val="24"/>
        </w:rPr>
        <w:t xml:space="preserve">4180</w:t>
      </w:r>
      <w:r>
        <w:rPr>
          <w:szCs w:val="24"/>
        </w:rPr>
        <w:t xml:space="preserve">,</w:t>
      </w:r>
      <w:r>
        <w:rPr>
          <w:szCs w:val="24"/>
        </w:rPr>
        <w:t xml:space="preserve">84 тыс. рублей, по расходам 4562</w:t>
      </w:r>
      <w:r>
        <w:rPr>
          <w:szCs w:val="24"/>
        </w:rPr>
        <w:t xml:space="preserve">,</w:t>
      </w:r>
      <w:r>
        <w:rPr>
          <w:szCs w:val="24"/>
        </w:rPr>
        <w:t xml:space="preserve">50</w:t>
      </w:r>
      <w:r>
        <w:rPr>
          <w:szCs w:val="24"/>
        </w:rPr>
        <w:t xml:space="preserve"> тыс. рублей,  дефицит бюджета – </w:t>
      </w:r>
      <w:r>
        <w:rPr>
          <w:szCs w:val="24"/>
        </w:rPr>
        <w:t xml:space="preserve">381</w:t>
      </w:r>
      <w:r>
        <w:rPr>
          <w:szCs w:val="24"/>
        </w:rPr>
        <w:t xml:space="preserve">,66</w:t>
      </w:r>
      <w:r>
        <w:rPr>
          <w:szCs w:val="24"/>
        </w:rPr>
        <w:t xml:space="preserve"> тыс. рублей.</w:t>
      </w: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Объем доходов и расходов проекта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 сформирован без учета получаемых из бюджета Республики Карелия субсидий на софи</w:t>
      </w:r>
      <w:r>
        <w:rPr>
          <w:szCs w:val="24"/>
        </w:rPr>
        <w:t xml:space="preserve">нансирование расходных обязательств, возникающих при выполнении полномочий органов местного самоуправления по вопросам местного значения. Распределение субсидий устанавливается Правительством Республики Карелия в ходе исполнения бюджета Республики Карелия.</w:t>
      </w:r>
      <w:r>
        <w:rPr>
          <w:szCs w:val="24"/>
        </w:rPr>
      </w:r>
      <w:r/>
    </w:p>
    <w:p>
      <w:pPr>
        <w:pStyle w:val="584"/>
        <w:jc w:val="left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4"/>
        <w:jc w:val="center"/>
        <w:spacing w:lineRule="auto" w:line="360"/>
        <w:rPr>
          <w:szCs w:val="24"/>
        </w:rPr>
      </w:pPr>
      <w:r>
        <w:rPr>
          <w:b/>
          <w:szCs w:val="24"/>
        </w:rPr>
        <w:t xml:space="preserve">3. ДОХОДЫ</w:t>
      </w:r>
      <w:r>
        <w:rPr>
          <w:szCs w:val="24"/>
        </w:rPr>
      </w:r>
      <w:r/>
    </w:p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szCs w:val="24"/>
        </w:rPr>
        <w:t xml:space="preserve">Прогноз поступления налоговых и неналоговых  доходов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сельского</w:t>
      </w:r>
      <w:r>
        <w:rPr>
          <w:szCs w:val="24"/>
        </w:rPr>
        <w:t xml:space="preserve">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 (далее – прогноз) разработан на основе</w:t>
      </w:r>
      <w:r>
        <w:rPr>
          <w:szCs w:val="24"/>
        </w:rPr>
        <w:t xml:space="preserve">, </w:t>
      </w:r>
      <w:r>
        <w:rPr>
          <w:szCs w:val="24"/>
        </w:rPr>
        <w:t xml:space="preserve">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</w:t>
      </w:r>
      <w:r>
        <w:rPr>
          <w:szCs w:val="24"/>
        </w:rPr>
        <w:t xml:space="preserve">сельского поселения</w:t>
      </w:r>
      <w:r>
        <w:rPr>
          <w:szCs w:val="24"/>
        </w:rPr>
        <w:t xml:space="preserve"> за </w:t>
      </w:r>
      <w:r>
        <w:rPr>
          <w:szCs w:val="24"/>
        </w:rPr>
        <w:t xml:space="preserve">2021</w:t>
      </w:r>
      <w:r>
        <w:rPr>
          <w:szCs w:val="24"/>
        </w:rPr>
        <w:t xml:space="preserve"> год</w:t>
      </w:r>
      <w:r>
        <w:rPr>
          <w:szCs w:val="24"/>
        </w:rPr>
        <w:t xml:space="preserve">. При подготовке прогноза учтены данные территориальных органов федеральных органов исполнительной власти и органов исполнительной власти Республики Карелия, </w:t>
      </w:r>
      <w:r>
        <w:rPr>
          <w:szCs w:val="24"/>
        </w:rPr>
        <w:t xml:space="preserve">органов местного самоуправления и муниципальных учреждений, </w:t>
      </w:r>
      <w:r>
        <w:rPr>
          <w:szCs w:val="24"/>
        </w:rPr>
        <w:t xml:space="preserve">являющихся главными администраторами доходов </w:t>
      </w:r>
      <w:r>
        <w:rPr>
          <w:color w:val="000000"/>
          <w:szCs w:val="24"/>
        </w:rPr>
        <w:t xml:space="preserve">бюджета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При расчёте доходной части бюджета 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(далее бюджет поселения) на 20</w:t>
      </w:r>
      <w:r>
        <w:rPr>
          <w:szCs w:val="24"/>
        </w:rPr>
        <w:t xml:space="preserve">22 </w:t>
      </w:r>
      <w:r>
        <w:rPr>
          <w:szCs w:val="24"/>
        </w:rPr>
        <w:t xml:space="preserve">год  использованы:</w:t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основные показатели прогноза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Лахденпохского муниципального района на очередной финансовый год и плановый период;</w:t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данные Управления ФНС по РК (информация программы «Свод информации налоговых инспекций»);</w:t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отчётность об исполнении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за 2020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2021</w:t>
      </w:r>
      <w:r>
        <w:rPr>
          <w:szCs w:val="24"/>
        </w:rPr>
        <w:t xml:space="preserve"> года;</w:t>
      </w: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прогнозные показатели поступления доходов в очередном году, представленные главными администраторами доходов бюджета; </w:t>
      </w:r>
      <w:r>
        <w:rPr>
          <w:szCs w:val="24"/>
        </w:rPr>
        <w:t xml:space="preserve">   </w:t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динамика поступлений доходов и оценки исполнения бюджета сельского поселения за 2020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2021</w:t>
      </w:r>
      <w:r>
        <w:rPr>
          <w:szCs w:val="24"/>
        </w:rPr>
        <w:t xml:space="preserve"> года.</w:t>
      </w:r>
      <w:r/>
    </w:p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4"/>
        <w:ind w:firstLine="567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Динамика </w:t>
      </w:r>
      <w:r>
        <w:rPr>
          <w:b/>
          <w:szCs w:val="24"/>
        </w:rPr>
        <w:t xml:space="preserve">изменения </w:t>
      </w:r>
      <w:r>
        <w:rPr>
          <w:b/>
          <w:szCs w:val="24"/>
        </w:rPr>
        <w:t xml:space="preserve">доходов бюджета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  <w:t xml:space="preserve"> 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</w:r>
      <w:r/>
    </w:p>
    <w:tbl>
      <w:tblPr>
        <w:tblW w:w="5008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1419"/>
        <w:gridCol w:w="1275"/>
        <w:gridCol w:w="1629"/>
      </w:tblGrid>
      <w:tr>
        <w:trPr>
          <w:trHeight w:val="375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21" w:type="pct"/>
            <w:vAlign w:val="bottom"/>
            <w:textDirection w:val="lrTb"/>
            <w:noWrap/>
          </w:tcPr>
          <w:p>
            <w:pPr>
              <w:pStyle w:val="584"/>
              <w:jc w:val="center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748" w:type="pct"/>
            <w:vAlign w:val="bottom"/>
            <w:textDirection w:val="lrTb"/>
            <w:noWrap/>
          </w:tcPr>
          <w:p>
            <w:pPr>
              <w:pStyle w:val="584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31" w:type="pct"/>
            <w:vAlign w:val="bottom"/>
            <w:textDirection w:val="lrTb"/>
            <w:noWrap/>
          </w:tcPr>
          <w:p>
            <w:pPr>
              <w:pStyle w:val="584"/>
              <w:jc w:val="right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ыс. рублей</w:t>
            </w:r>
            <w:r/>
          </w:p>
        </w:tc>
      </w:tr>
      <w:tr>
        <w:trPr>
          <w:trHeight w:val="111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Оценка</w:t>
            </w:r>
            <w:r/>
          </w:p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2021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Прогноз </w:t>
            </w: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22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spacing w:lineRule="auto" w:line="36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Общий объем доходов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vMerge w:val="restart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4336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vMerge w:val="restart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4181</w:t>
            </w:r>
            <w:r>
              <w:rPr>
                <w:b/>
                <w:b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vMerge w:val="restart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-</w:t>
            </w:r>
            <w:r>
              <w:rPr>
                <w:b/>
                <w:bCs/>
                <w:szCs w:val="24"/>
              </w:rPr>
              <w:t xml:space="preserve">155</w:t>
            </w:r>
            <w:r/>
          </w:p>
        </w:tc>
      </w:tr>
      <w:tr>
        <w:trPr>
          <w:cantSplit/>
          <w:trHeight w:val="319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vMerge w:val="continue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vMerge w:val="continue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vMerge w:val="continue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24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/>
                <w:szCs w:val="24"/>
                <w:highlight w:val="yellow"/>
              </w:rPr>
            </w:pPr>
            <w:r>
              <w:rPr>
                <w:i/>
                <w:szCs w:val="24"/>
              </w:rPr>
              <w:t xml:space="preserve">2279</w:t>
            </w:r>
            <w:r>
              <w:rPr>
                <w:i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2129</w:t>
            </w:r>
            <w:r>
              <w:rPr>
                <w:i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</w:t>
            </w:r>
            <w:r>
              <w:rPr>
                <w:i/>
                <w:iCs/>
                <w:szCs w:val="24"/>
              </w:rPr>
              <w:t xml:space="preserve">150</w:t>
            </w:r>
            <w:r/>
          </w:p>
        </w:tc>
      </w:tr>
      <w:tr>
        <w:trPr>
          <w:trHeight w:val="253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алог на доходы физических лиц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466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618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152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 w:val="20"/>
              </w:rPr>
            </w:pPr>
            <w:r>
              <w:rPr>
                <w:bCs/>
                <w:sz w:val="23"/>
                <w:szCs w:val="23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611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659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48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53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13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Земельный налог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739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746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7</w:t>
            </w:r>
            <w:r/>
          </w:p>
        </w:tc>
      </w:tr>
      <w:tr>
        <w:trPr>
          <w:trHeight w:val="294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Прочие доходы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59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оходы от </w:t>
            </w:r>
            <w:r>
              <w:rPr>
                <w:szCs w:val="24"/>
              </w:rPr>
              <w:t xml:space="preserve">продажи материальных и нематериальных активов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361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-361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оказания платных услуг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8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32</w:t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</w:t>
            </w:r>
            <w:r>
              <w:rPr>
                <w:szCs w:val="24"/>
              </w:rPr>
              <w:t xml:space="preserve">сдачи </w:t>
            </w: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 аренду имущества 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54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-41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Штрафы, санкции, возмещение ущерба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4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2057</w:t>
            </w:r>
            <w:r>
              <w:rPr>
                <w:i/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2052</w:t>
            </w:r>
            <w:r>
              <w:rPr>
                <w:i/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4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-5</w:t>
            </w:r>
            <w:r/>
          </w:p>
        </w:tc>
      </w:tr>
    </w:tbl>
    <w:p>
      <w:pPr>
        <w:pStyle w:val="584"/>
        <w:ind w:right="43" w:firstLine="708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Прогнозируемые поступления доходов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в соответс</w:t>
      </w:r>
      <w:r>
        <w:rPr>
          <w:szCs w:val="24"/>
        </w:rPr>
        <w:t xml:space="preserve">т</w:t>
      </w:r>
      <w:r>
        <w:rPr>
          <w:szCs w:val="24"/>
        </w:rPr>
        <w:t xml:space="preserve">вии с классификацией доходов 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 представлены в приложении 1 к пояснительной записке.</w:t>
      </w: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Прогнозируемые поступления доходов бюджета </w:t>
      </w:r>
      <w:r>
        <w:rPr>
          <w:rFonts w:ascii="Times New Roman CYR" w:hAnsi="Times New Roman CYR"/>
          <w:szCs w:val="24"/>
        </w:rPr>
        <w:t xml:space="preserve">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по главным администраторам доходов на </w:t>
      </w:r>
      <w:r>
        <w:rPr>
          <w:rFonts w:ascii="Times New Roman CYR" w:hAnsi="Times New Roman CYR"/>
          <w:szCs w:val="24"/>
        </w:rPr>
        <w:t xml:space="preserve">2022</w:t>
      </w:r>
      <w:r>
        <w:rPr>
          <w:rFonts w:ascii="Times New Roman CYR" w:hAnsi="Times New Roman CYR"/>
          <w:szCs w:val="24"/>
        </w:rPr>
        <w:t xml:space="preserve"> год представлены в приложении 2 к пояснительной записке.</w:t>
      </w:r>
      <w:r/>
    </w:p>
    <w:p>
      <w:pPr>
        <w:pStyle w:val="584"/>
        <w:spacing w:lineRule="auto" w:line="360"/>
      </w:pPr>
      <w:r/>
      <w:r/>
    </w:p>
    <w:p>
      <w:pPr>
        <w:pStyle w:val="587"/>
        <w:jc w:val="center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собенности расчетов </w:t>
      </w:r>
      <w:r>
        <w:rPr>
          <w:sz w:val="24"/>
          <w:szCs w:val="24"/>
        </w:rPr>
        <w:t xml:space="preserve">прогнозируемого </w:t>
      </w:r>
      <w:r>
        <w:rPr>
          <w:sz w:val="24"/>
          <w:szCs w:val="24"/>
        </w:rPr>
        <w:t xml:space="preserve">поступлени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платежей в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доход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</w:r>
      <w:r/>
    </w:p>
    <w:p>
      <w:pPr>
        <w:pStyle w:val="584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4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НАЛОГОВЫЕ И НЕНАЛОГОВЫЕ ДОХОДЫ</w:t>
      </w:r>
      <w:r/>
    </w:p>
    <w:p>
      <w:pPr>
        <w:pStyle w:val="584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4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 на доходы физических лиц</w:t>
      </w:r>
      <w:r>
        <w:rPr>
          <w:b/>
          <w:bCs/>
          <w:szCs w:val="24"/>
        </w:rPr>
      </w:r>
      <w:r/>
    </w:p>
    <w:p>
      <w:pPr>
        <w:pStyle w:val="584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     Прогноз налога на доходы физических лиц с доходов, источником которых является налоговый агент, за исключение</w:t>
      </w:r>
      <w:r>
        <w:rPr>
          <w:szCs w:val="24"/>
        </w:rPr>
        <w:t xml:space="preserve">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определен в соответствии с Методикой прогнозирования налоговых и неналоговых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год,  утвержденной постановлением Администрации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№</w:t>
      </w:r>
      <w:r>
        <w:rPr>
          <w:szCs w:val="24"/>
        </w:rPr>
        <w:t xml:space="preserve"> 54 от 11</w:t>
      </w:r>
      <w:r>
        <w:rPr>
          <w:szCs w:val="24"/>
        </w:rPr>
        <w:t xml:space="preserve">.11.2016 года и  нормативом отчисления в бюджет поселения по ставке  2 процента.</w:t>
      </w: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ФОТ  на 20</w:t>
      </w:r>
      <w:r>
        <w:rPr>
          <w:szCs w:val="24"/>
        </w:rPr>
        <w:t xml:space="preserve">22</w:t>
      </w:r>
      <w:r>
        <w:rPr>
          <w:szCs w:val="24"/>
        </w:rPr>
        <w:t xml:space="preserve"> год рассчитан в соответствии с прогнозом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финансовый год с учетом Сценарных условий социально-экономического развития Республики Карелия на очередной финансовый год и плановый период</w:t>
      </w:r>
      <w:r>
        <w:rPr>
          <w:szCs w:val="24"/>
        </w:rPr>
        <w:t xml:space="preserve">:</w:t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вычеты, предоставляемые налоговыми агентами при определении налоговой базы  рассчитаны как среднее значение, рассчитанное на основе отчетов налоговых органов о базе налогообложения п</w:t>
      </w:r>
      <w:r>
        <w:rPr>
          <w:szCs w:val="24"/>
        </w:rPr>
        <w:t xml:space="preserve">о налогу на доходы физических лиц по форме № 5-НДФЛ «Отчет о налоговой базе и структуре начислений по налогу на доходы физических лиц, удерживаемому налоговыми органами» и 5 –ДДК «О декларировании доходов физическими лицами» за три отчетных финансовых года</w:t>
      </w:r>
      <w:r>
        <w:rPr>
          <w:szCs w:val="24"/>
        </w:rPr>
        <w:t xml:space="preserve">.</w:t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налога на доходы с физических лиц на 20</w:t>
      </w:r>
      <w:r>
        <w:rPr>
          <w:szCs w:val="24"/>
        </w:rPr>
        <w:t xml:space="preserve">22</w:t>
      </w:r>
      <w:r>
        <w:rPr>
          <w:szCs w:val="24"/>
        </w:rPr>
        <w:t xml:space="preserve"> год составит -</w:t>
      </w:r>
      <w:r>
        <w:rPr>
          <w:szCs w:val="24"/>
        </w:rPr>
        <w:t xml:space="preserve"> 618</w:t>
      </w:r>
      <w:r>
        <w:rPr>
          <w:szCs w:val="24"/>
        </w:rPr>
        <w:t xml:space="preserve">,0 тыс. рублей,  что составит </w:t>
      </w:r>
      <w:r>
        <w:rPr>
          <w:szCs w:val="24"/>
        </w:rPr>
        <w:t xml:space="preserve">132,</w:t>
      </w:r>
      <w:r>
        <w:rPr>
          <w:szCs w:val="24"/>
        </w:rPr>
        <w:t xml:space="preserve">6</w:t>
      </w:r>
      <w:r>
        <w:rPr>
          <w:szCs w:val="24"/>
        </w:rPr>
        <w:t xml:space="preserve"> % процентов от плановых показателей 2021</w:t>
      </w:r>
      <w:r>
        <w:rPr>
          <w:szCs w:val="24"/>
        </w:rPr>
        <w:t xml:space="preserve"> года.</w:t>
      </w: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Планируемые суммы, по данным главного администратора (ФНС России по Республике Карелия), на 20</w:t>
      </w:r>
      <w:r>
        <w:rPr>
          <w:rFonts w:eastAsia="Calibri"/>
          <w:iCs/>
          <w:szCs w:val="24"/>
          <w:lang w:eastAsia="en-US"/>
        </w:rPr>
        <w:t xml:space="preserve">22 </w:t>
      </w:r>
      <w:r>
        <w:rPr>
          <w:rFonts w:eastAsia="Calibri"/>
          <w:iCs/>
          <w:szCs w:val="24"/>
          <w:lang w:eastAsia="en-US"/>
        </w:rPr>
        <w:t xml:space="preserve">год составят </w:t>
      </w:r>
      <w:r>
        <w:rPr>
          <w:rFonts w:eastAsia="Calibri"/>
          <w:iCs/>
          <w:szCs w:val="24"/>
          <w:lang w:eastAsia="en-US"/>
        </w:rPr>
        <w:t xml:space="preserve">479</w:t>
      </w:r>
      <w:r>
        <w:rPr>
          <w:rFonts w:eastAsia="Calibri"/>
          <w:iCs/>
          <w:szCs w:val="24"/>
          <w:lang w:eastAsia="en-US"/>
        </w:rPr>
        <w:t xml:space="preserve">,0 тыс. рублей</w:t>
      </w:r>
      <w:r/>
    </w:p>
    <w:p>
      <w:pPr>
        <w:pStyle w:val="584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479</w:t>
      </w:r>
      <w:r>
        <w:rPr>
          <w:rFonts w:eastAsia="Calibri"/>
          <w:iCs/>
          <w:szCs w:val="24"/>
          <w:lang w:eastAsia="en-US"/>
        </w:rPr>
        <w:t xml:space="preserve">,0 тыс. рублей;</w:t>
      </w:r>
      <w:r/>
    </w:p>
    <w:p>
      <w:pPr>
        <w:pStyle w:val="584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Прогнозные показатели, переданные администратором доходов, предоставлены с учетом фактических поступлений за 9 месяцев текущего года и динамики поступлений в аналогичном периоде прошлого года</w:t>
      </w:r>
      <w:r>
        <w:rPr>
          <w:rFonts w:eastAsia="Calibri"/>
          <w:iCs/>
          <w:szCs w:val="24"/>
          <w:lang w:eastAsia="en-US"/>
        </w:rPr>
        <w:t xml:space="preserve">.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4"/>
        <w:ind w:firstLine="567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4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color w:val="000000"/>
          <w:szCs w:val="24"/>
        </w:rPr>
        <w:t xml:space="preserve">Н</w:t>
      </w:r>
      <w:r>
        <w:rPr>
          <w:b/>
          <w:bCs/>
          <w:color w:val="000000"/>
          <w:szCs w:val="24"/>
        </w:rPr>
        <w:t xml:space="preserve">алоги на товары </w:t>
      </w:r>
      <w:r>
        <w:rPr>
          <w:b/>
          <w:bCs/>
          <w:color w:val="000000"/>
          <w:szCs w:val="24"/>
        </w:rPr>
        <w:t xml:space="preserve">(</w:t>
      </w:r>
      <w:r>
        <w:rPr>
          <w:b/>
          <w:bCs/>
          <w:color w:val="000000"/>
          <w:szCs w:val="24"/>
        </w:rPr>
        <w:t xml:space="preserve">работы, услуги)</w:t>
      </w:r>
      <w:r>
        <w:rPr>
          <w:b/>
          <w:bCs/>
          <w:color w:val="000000"/>
          <w:szCs w:val="24"/>
        </w:rPr>
        <w:t xml:space="preserve">,</w:t>
      </w:r>
      <w:r/>
    </w:p>
    <w:p>
      <w:pPr>
        <w:pStyle w:val="584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реализуемые на территории Российской Федерации</w:t>
      </w:r>
      <w:r>
        <w:rPr>
          <w:b/>
          <w:bCs/>
          <w:color w:val="000000"/>
          <w:szCs w:val="24"/>
        </w:rPr>
      </w:r>
      <w:r/>
    </w:p>
    <w:p>
      <w:pPr>
        <w:pStyle w:val="584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4"/>
        <w:ind w:firstLine="567"/>
        <w:jc w:val="both"/>
        <w:spacing w:lineRule="auto" w:line="360"/>
        <w:rPr>
          <w:color w:val="000000"/>
        </w:rPr>
      </w:pPr>
      <w:r>
        <w:rPr>
          <w:b/>
          <w:bCs/>
          <w:color w:val="000000"/>
          <w:sz w:val="23"/>
          <w:szCs w:val="23"/>
        </w:rPr>
        <w:t xml:space="preserve"> 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</w:rPr>
        <w:t xml:space="preserve">Прогноз доходов от уплаты акцизов на нефтепродукты на 20</w:t>
      </w:r>
      <w:r>
        <w:rPr>
          <w:color w:val="000000"/>
        </w:rPr>
        <w:t xml:space="preserve">21</w:t>
      </w:r>
      <w:r>
        <w:rPr>
          <w:color w:val="000000"/>
        </w:rPr>
        <w:t xml:space="preserve"> год на автомобильный и прямогонный бензин, дизель</w:t>
      </w:r>
      <w:r>
        <w:rPr>
          <w:color w:val="000000"/>
        </w:rPr>
        <w:t xml:space="preserve">ное топливо, моторные масла для дизельных и (или) карбюраторных (инжекторных) двигателей определен в соответствии с расчетом Управления Федерального казначейства исходя из прогнозируемых поступлений акцизов на нефтепродукты, подлежащих зачислению в бюджет </w:t>
      </w:r>
      <w:r>
        <w:rPr>
          <w:color w:val="000000"/>
        </w:rPr>
        <w:t xml:space="preserve">Элисенваарского сельского поселения.</w:t>
      </w:r>
      <w:r>
        <w:rPr>
          <w:color w:val="000000"/>
        </w:rPr>
      </w:r>
      <w:r/>
    </w:p>
    <w:p>
      <w:pPr>
        <w:pStyle w:val="584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>
        <w:rPr>
          <w:color w:val="000000"/>
        </w:rPr>
        <w:t xml:space="preserve">На 2022</w:t>
      </w:r>
      <w:r>
        <w:rPr>
          <w:color w:val="000000"/>
        </w:rPr>
        <w:t xml:space="preserve"> год доходы от уплаты акцизов в бюджете Элисенваарского сельского поселения будут учтены </w:t>
      </w:r>
      <w:r>
        <w:rPr>
          <w:color w:val="000000"/>
        </w:rPr>
        <w:t xml:space="preserve">в размере 659,04 тыс. рублей</w:t>
      </w:r>
      <w:r>
        <w:rPr>
          <w:color w:val="000000"/>
        </w:rPr>
        <w:t xml:space="preserve">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Управления Федерального казначейства на 2022 год и плановый период 2023-2024 годов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Управления Федерального казначейства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</w:r>
      <w:r/>
    </w:p>
    <w:p>
      <w:pPr>
        <w:pStyle w:val="584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584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Налог на имущество физических лиц</w:t>
      </w:r>
      <w:r>
        <w:rPr>
          <w:b/>
          <w:color w:val="000000"/>
          <w:szCs w:val="24"/>
        </w:rPr>
      </w:r>
      <w:r/>
    </w:p>
    <w:p>
      <w:pPr>
        <w:pStyle w:val="584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налога на имущество физических лиц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22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53</w:t>
      </w:r>
      <w:r>
        <w:rPr>
          <w:szCs w:val="24"/>
        </w:rPr>
        <w:t xml:space="preserve"> тыс. рублей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4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Земельный налог</w:t>
      </w:r>
      <w:r>
        <w:rPr>
          <w:b/>
          <w:color w:val="000000"/>
          <w:szCs w:val="24"/>
        </w:rPr>
      </w:r>
      <w:r/>
    </w:p>
    <w:p>
      <w:pPr>
        <w:pStyle w:val="584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земельного налога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22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746</w:t>
      </w:r>
      <w:r>
        <w:rPr>
          <w:szCs w:val="24"/>
        </w:rPr>
        <w:t xml:space="preserve"> тыс. рублей</w:t>
      </w:r>
      <w:r>
        <w:rPr>
          <w:szCs w:val="24"/>
        </w:rPr>
      </w:r>
      <w:r/>
    </w:p>
    <w:p>
      <w:pPr>
        <w:pStyle w:val="584"/>
        <w:jc w:val="both"/>
        <w:spacing w:lineRule="auto" w:line="360"/>
        <w:rPr>
          <w:color w:val="FF0000"/>
          <w:szCs w:val="24"/>
        </w:rPr>
      </w:pPr>
      <w:r>
        <w:rPr>
          <w:color w:val="FF0000"/>
          <w:szCs w:val="24"/>
        </w:rPr>
      </w:r>
      <w:r/>
    </w:p>
    <w:p>
      <w:pPr>
        <w:pStyle w:val="584"/>
        <w:jc w:val="both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          </w:t>
      </w:r>
      <w:r>
        <w:rPr>
          <w:b/>
          <w:bCs/>
          <w:color w:val="000000"/>
          <w:szCs w:val="24"/>
        </w:rPr>
      </w:r>
      <w:r/>
    </w:p>
    <w:p>
      <w:pPr>
        <w:pStyle w:val="584"/>
        <w:jc w:val="both"/>
        <w:spacing w:lineRule="auto" w:line="360"/>
        <w:rPr>
          <w:b/>
          <w:color w:val="000000"/>
          <w:szCs w:val="24"/>
        </w:rPr>
      </w:pPr>
      <w:r>
        <w:rPr>
          <w:b/>
          <w:bCs/>
          <w:color w:val="000000"/>
          <w:szCs w:val="24"/>
        </w:rPr>
      </w:r>
      <w:r>
        <w:rPr>
          <w:b/>
          <w:bCs/>
          <w:color w:val="000000"/>
          <w:szCs w:val="24"/>
        </w:rPr>
      </w:r>
      <w:r/>
    </w:p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Доходы от использования имущества, находящегося в государственной и муниципальной собственности</w:t>
      </w:r>
      <w:r/>
    </w:p>
    <w:p>
      <w:pPr>
        <w:pStyle w:val="584"/>
        <w:ind w:firstLine="720"/>
        <w:jc w:val="both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4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доходов от использования имущества определен Администрацией Элисенваарского сельского поселения в размере </w:t>
      </w:r>
      <w:r>
        <w:rPr>
          <w:szCs w:val="24"/>
        </w:rPr>
        <w:t xml:space="preserve">12</w:t>
      </w:r>
      <w:r>
        <w:rPr>
          <w:szCs w:val="24"/>
        </w:rPr>
        <w:t xml:space="preserve">,9</w:t>
      </w:r>
      <w:r>
        <w:rPr>
          <w:szCs w:val="24"/>
        </w:rPr>
        <w:t xml:space="preserve"> тыс. рублей:</w:t>
      </w:r>
      <w:r>
        <w:rPr>
          <w:szCs w:val="24"/>
        </w:rPr>
      </w:r>
      <w:r/>
    </w:p>
    <w:p>
      <w:pPr>
        <w:pStyle w:val="584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- д</w:t>
      </w:r>
      <w:r>
        <w:rPr>
          <w:szCs w:val="24"/>
        </w:rPr>
        <w:t xml:space="preserve">оходы от сдачи имущества  в аренду</w:t>
      </w:r>
      <w:r>
        <w:rPr>
          <w:szCs w:val="24"/>
        </w:rPr>
        <w:t xml:space="preserve"> в размере - 12,9 тыс. руб., исходя из заключенных договоров с организациям</w:t>
      </w:r>
      <w:r>
        <w:rPr>
          <w:szCs w:val="24"/>
        </w:rPr>
        <w:t xml:space="preserve">и на 2021 г – 2022 г.</w:t>
      </w:r>
      <w:r>
        <w:rPr>
          <w:b/>
          <w:szCs w:val="24"/>
        </w:rPr>
      </w:r>
      <w:r/>
    </w:p>
    <w:p>
      <w:pPr>
        <w:pStyle w:val="584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Государственная пошлина</w:t>
      </w:r>
      <w:r>
        <w:rPr>
          <w:b/>
          <w:szCs w:val="24"/>
        </w:rPr>
      </w:r>
      <w:r/>
    </w:p>
    <w:p>
      <w:pPr>
        <w:pStyle w:val="584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4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государственной пошлины за сов</w:t>
      </w:r>
      <w:r>
        <w:rPr>
          <w:szCs w:val="24"/>
        </w:rPr>
        <w:t xml:space="preserve">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определен главным администратором доходов –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поселения. Норматив отчислений в бюджет установлен в размере 100 процентов, и рассчитан  исходя из динамики обращений граждан, поступления средств за несколько лет.  Прогноз  на 20</w:t>
      </w:r>
      <w:r>
        <w:rPr>
          <w:szCs w:val="24"/>
        </w:rPr>
        <w:t xml:space="preserve">22</w:t>
      </w:r>
      <w:r>
        <w:rPr>
          <w:szCs w:val="24"/>
        </w:rPr>
        <w:t xml:space="preserve"> год не установлен</w:t>
      </w:r>
      <w:r>
        <w:rPr>
          <w:szCs w:val="24"/>
        </w:rPr>
        <w:t xml:space="preserve">.</w:t>
      </w:r>
      <w:r/>
    </w:p>
    <w:p>
      <w:pPr>
        <w:pStyle w:val="584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4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оказания платных услуг и компенсации затрат государства</w:t>
      </w:r>
      <w:r>
        <w:rPr>
          <w:b/>
          <w:bCs/>
          <w:color w:val="000000"/>
          <w:szCs w:val="24"/>
        </w:rPr>
      </w:r>
      <w:r/>
    </w:p>
    <w:p>
      <w:pPr>
        <w:pStyle w:val="584"/>
        <w:jc w:val="both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4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</w:t>
      </w:r>
      <w:r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поступления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на </w:t>
      </w:r>
      <w:r>
        <w:rPr>
          <w:bCs/>
          <w:color w:val="000000"/>
          <w:szCs w:val="24"/>
        </w:rPr>
        <w:t xml:space="preserve">20</w:t>
      </w:r>
      <w:r>
        <w:rPr>
          <w:bCs/>
          <w:color w:val="000000"/>
          <w:szCs w:val="24"/>
        </w:rPr>
        <w:t xml:space="preserve">22</w:t>
      </w:r>
      <w:r>
        <w:rPr>
          <w:bCs/>
          <w:color w:val="000000"/>
          <w:szCs w:val="24"/>
        </w:rPr>
        <w:t xml:space="preserve"> год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определен  главным администратором доходов – Администрацией </w:t>
      </w:r>
      <w:r>
        <w:rPr>
          <w:bCs/>
          <w:color w:val="000000"/>
          <w:szCs w:val="24"/>
        </w:rPr>
        <w:t xml:space="preserve">Элисенваарского</w:t>
      </w:r>
      <w:r>
        <w:rPr>
          <w:bCs/>
          <w:color w:val="000000"/>
          <w:szCs w:val="24"/>
        </w:rPr>
        <w:t xml:space="preserve"> сельского поселения, исходя из расчета проведения культурно-массовых мероприятий в размере </w:t>
      </w:r>
      <w:r>
        <w:rPr>
          <w:bCs/>
          <w:color w:val="000000"/>
          <w:szCs w:val="24"/>
        </w:rPr>
        <w:t xml:space="preserve">40</w:t>
      </w:r>
      <w:r>
        <w:rPr>
          <w:bCs/>
          <w:color w:val="000000"/>
          <w:szCs w:val="24"/>
        </w:rPr>
        <w:t xml:space="preserve"> тыс. рублей.</w:t>
      </w:r>
      <w:r>
        <w:rPr>
          <w:bCs/>
          <w:color w:val="000000"/>
          <w:szCs w:val="24"/>
        </w:rPr>
      </w:r>
      <w:r/>
    </w:p>
    <w:p>
      <w:pPr>
        <w:pStyle w:val="584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</w:r>
      <w:r/>
    </w:p>
    <w:p>
      <w:pPr>
        <w:pStyle w:val="584"/>
        <w:ind w:firstLine="720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денежных взысканий (штрафов), установленных законами субъектов Российской Федерации за несоблюдение муниципальных правовых актов, зачисляемые в бюджеты поселений</w:t>
      </w:r>
      <w:r/>
    </w:p>
    <w:p>
      <w:pPr>
        <w:pStyle w:val="584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 поступления  денежных взысканий (штрафов)  на 20</w:t>
      </w:r>
      <w:r>
        <w:rPr>
          <w:bCs/>
          <w:color w:val="000000"/>
          <w:szCs w:val="24"/>
        </w:rPr>
        <w:t xml:space="preserve">22</w:t>
      </w:r>
      <w:r>
        <w:rPr>
          <w:bCs/>
          <w:color w:val="000000"/>
          <w:szCs w:val="24"/>
        </w:rPr>
        <w:t xml:space="preserve"> год не установлен.</w:t>
      </w:r>
      <w:r>
        <w:rPr>
          <w:bCs/>
          <w:color w:val="000000"/>
          <w:szCs w:val="24"/>
        </w:rPr>
      </w:r>
      <w:r/>
    </w:p>
    <w:p>
      <w:pPr>
        <w:pStyle w:val="584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4"/>
        <w:jc w:val="center"/>
        <w:spacing w:lineRule="auto" w:line="360"/>
        <w:rPr>
          <w:b/>
          <w:i/>
          <w:szCs w:val="24"/>
        </w:rPr>
      </w:pPr>
      <w:r>
        <w:rPr>
          <w:b/>
          <w:szCs w:val="24"/>
        </w:rPr>
        <w:t xml:space="preserve">БЕЗВОЗМЕЗДНЫЕ ПОСТУПЛЕНИЯ</w:t>
      </w:r>
      <w:r>
        <w:rPr>
          <w:b/>
          <w:i/>
          <w:szCs w:val="24"/>
        </w:rPr>
      </w:r>
      <w:r/>
    </w:p>
    <w:p>
      <w:pPr>
        <w:pStyle w:val="584"/>
        <w:jc w:val="both"/>
        <w:spacing w:lineRule="auto" w:line="360"/>
        <w:rPr>
          <w:b/>
          <w:i/>
          <w:szCs w:val="24"/>
        </w:rPr>
      </w:pPr>
      <w:r>
        <w:rPr>
          <w:b/>
          <w:i/>
          <w:szCs w:val="24"/>
        </w:rPr>
      </w:r>
      <w:r/>
    </w:p>
    <w:p>
      <w:pPr>
        <w:pStyle w:val="584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Общий объем безвозмездных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 определен в виде дотации </w:t>
      </w:r>
      <w:r>
        <w:rPr>
          <w:szCs w:val="24"/>
        </w:rPr>
        <w:t xml:space="preserve">бюджету сельского поселения </w:t>
      </w:r>
      <w:r>
        <w:rPr>
          <w:szCs w:val="24"/>
        </w:rPr>
        <w:t xml:space="preserve">на выравнивание бюджетной обеспеченности в сумме </w:t>
      </w:r>
      <w:r>
        <w:rPr>
          <w:szCs w:val="24"/>
        </w:rPr>
        <w:t xml:space="preserve">1665,70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,</w:t>
      </w:r>
      <w:r>
        <w:rPr>
          <w:szCs w:val="24"/>
        </w:rPr>
        <w:t xml:space="preserve">  субвенций </w:t>
      </w:r>
      <w:r>
        <w:rPr>
          <w:szCs w:val="24"/>
        </w:rPr>
        <w:t xml:space="preserve">бюджету сельского поселения на выполнение передаваемых полномочий субъектов Российской Федерации </w:t>
      </w:r>
      <w:r>
        <w:rPr>
          <w:szCs w:val="24"/>
        </w:rPr>
        <w:t xml:space="preserve">в сумме </w:t>
      </w:r>
      <w:r>
        <w:rPr>
          <w:szCs w:val="24"/>
        </w:rPr>
        <w:t xml:space="preserve">147</w:t>
      </w:r>
      <w:r>
        <w:rPr>
          <w:szCs w:val="24"/>
        </w:rPr>
        <w:t xml:space="preserve">,3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и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сумме 111</w:t>
      </w:r>
      <w:r>
        <w:rPr>
          <w:szCs w:val="24"/>
        </w:rPr>
        <w:t xml:space="preserve">,2</w:t>
      </w:r>
      <w:r>
        <w:rPr>
          <w:szCs w:val="24"/>
        </w:rPr>
        <w:t xml:space="preserve"> тыс. рублей, прочие межбюджетные субсидии, передаваемые бюджетам сельских поселений (</w:t>
      </w:r>
      <w:r>
        <w:rPr>
          <w:szCs w:val="24"/>
        </w:rP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</w:t>
      </w:r>
      <w:r>
        <w:rPr>
          <w:szCs w:val="24"/>
        </w:rPr>
        <w:t xml:space="preserve">в сумме 127,7 тыс. рублей.</w:t>
      </w:r>
      <w:r>
        <w:rPr>
          <w:szCs w:val="24"/>
        </w:rPr>
        <w:t xml:space="preserve"> </w:t>
      </w:r>
      <w:r>
        <w:rPr>
          <w:szCs w:val="24"/>
        </w:rPr>
        <w:t xml:space="preserve"> Всего определено безвозмездных поступлений</w:t>
      </w:r>
      <w:r>
        <w:rPr>
          <w:szCs w:val="24"/>
        </w:rPr>
        <w:t xml:space="preserve"> в сумме</w:t>
      </w:r>
      <w:r>
        <w:rPr>
          <w:szCs w:val="24"/>
        </w:rPr>
        <w:t xml:space="preserve"> 2 051</w:t>
      </w:r>
      <w:r>
        <w:rPr>
          <w:szCs w:val="24"/>
        </w:rPr>
        <w:t xml:space="preserve">,</w:t>
      </w:r>
      <w:r>
        <w:rPr>
          <w:szCs w:val="24"/>
        </w:rPr>
        <w:t xml:space="preserve">9</w:t>
      </w:r>
      <w:r>
        <w:rPr>
          <w:szCs w:val="24"/>
        </w:rPr>
        <w:t xml:space="preserve"> тыс. рублей.</w:t>
      </w:r>
      <w:r/>
    </w:p>
    <w:p>
      <w:pPr>
        <w:pStyle w:val="584"/>
        <w:jc w:val="both"/>
        <w:spacing w:lineRule="auto" w:line="360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 xml:space="preserve">Объем и динамика изменения</w:t>
      </w:r>
      <w:r>
        <w:rPr>
          <w:szCs w:val="24"/>
        </w:rPr>
        <w:t xml:space="preserve"> </w:t>
      </w:r>
      <w:r>
        <w:rPr>
          <w:szCs w:val="24"/>
        </w:rPr>
        <w:t xml:space="preserve">вышеуказанных </w:t>
      </w:r>
      <w:r>
        <w:rPr>
          <w:szCs w:val="24"/>
        </w:rPr>
        <w:t xml:space="preserve">безвозмездных поступлений </w:t>
      </w:r>
      <w:r>
        <w:rPr>
          <w:szCs w:val="24"/>
        </w:rPr>
        <w:t xml:space="preserve"> в 20</w:t>
      </w:r>
      <w:r>
        <w:rPr>
          <w:szCs w:val="24"/>
        </w:rPr>
        <w:t xml:space="preserve">21</w:t>
      </w:r>
      <w:r>
        <w:rPr>
          <w:szCs w:val="24"/>
        </w:rPr>
        <w:t xml:space="preserve">-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годах </w:t>
      </w:r>
      <w:r>
        <w:rPr>
          <w:szCs w:val="24"/>
        </w:rPr>
        <w:t xml:space="preserve">представлен в таблице</w:t>
      </w:r>
      <w:r/>
    </w:p>
    <w:p>
      <w:pPr>
        <w:pStyle w:val="584"/>
        <w:jc w:val="right"/>
        <w:spacing w:lineRule="auto" w:line="360"/>
        <w:rPr>
          <w:sz w:val="20"/>
        </w:rPr>
      </w:pPr>
      <w:r>
        <w:rPr>
          <w:sz w:val="20"/>
        </w:rPr>
        <w:t xml:space="preserve">т</w:t>
      </w:r>
      <w:r>
        <w:rPr>
          <w:sz w:val="20"/>
        </w:rPr>
        <w:t xml:space="preserve">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>
        <w:rPr>
          <w:sz w:val="20"/>
        </w:rPr>
      </w:r>
      <w:r/>
    </w:p>
    <w:tbl>
      <w:tblPr>
        <w:tblW w:w="9480" w:type="dxa"/>
        <w:tblInd w:w="-1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3"/>
        <w:gridCol w:w="1134"/>
        <w:gridCol w:w="1134"/>
        <w:gridCol w:w="1419"/>
      </w:tblGrid>
      <w:tr>
        <w:trPr>
          <w:trHeight w:val="40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2021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22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trHeight w:val="38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Дотация на выравнивание бюджетной обеспеченности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1665,7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75,7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Субвенция на осуществление полномочий по первичному воинскому учету на территориях, где отсутствуют воинские военкоматы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Меж</w:t>
            </w:r>
            <w:r>
              <w:rPr>
                <w:sz w:val="22"/>
                <w:szCs w:val="22"/>
              </w:rPr>
              <w:t xml:space="preserve">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уровня. Выполнение части переданных полномочий Лахденпохского муниципального района по </w:t>
            </w:r>
            <w:r>
              <w:rPr>
                <w:sz w:val="22"/>
                <w:szCs w:val="22"/>
              </w:rPr>
              <w:t xml:space="preserve">п.6 </w:t>
            </w:r>
            <w:r>
              <w:rPr>
                <w:sz w:val="22"/>
                <w:szCs w:val="22"/>
              </w:rPr>
              <w:t xml:space="preserve">ч.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статьи 14 Федерального закона №131-ФЗ (взаимодействие с территориальными органами ФМС по регистрационному учету граждан РФ)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142,1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-14,4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 xml:space="preserve">Прочие межбюджетные трансферты, передаваемые </w:t>
            </w:r>
            <w:r>
              <w:rPr>
                <w:sz w:val="22"/>
                <w:szCs w:val="22"/>
              </w:rPr>
              <w:t xml:space="preserve">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51,15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-51,15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84"/>
        <w:jc w:val="right"/>
        <w:spacing w:lineRule="auto" w:line="360"/>
        <w:rPr>
          <w:sz w:val="20"/>
        </w:rPr>
      </w:pPr>
      <w:r>
        <w:rPr>
          <w:sz w:val="20"/>
        </w:rPr>
      </w:r>
      <w:r/>
    </w:p>
    <w:p>
      <w:pPr>
        <w:pStyle w:val="584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Межбюджетные трансферты, передаваемые из бюджета Лахденпохского муниципального района</w:t>
      </w:r>
      <w:r>
        <w:rPr>
          <w:rFonts w:ascii="Times New Roman CYR" w:hAnsi="Times New Roman CYR"/>
          <w:szCs w:val="24"/>
        </w:rPr>
        <w:t xml:space="preserve"> бюджету 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отражены в приложении 3 к пояснительной записке.  </w:t>
      </w:r>
      <w:r>
        <w:rPr>
          <w:rFonts w:ascii="Times New Roman CYR" w:hAnsi="Times New Roman CYR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4. РАСХОДЫ</w:t>
      </w:r>
      <w:r>
        <w:rPr>
          <w:b/>
          <w:szCs w:val="24"/>
        </w:rPr>
      </w:r>
      <w:r/>
    </w:p>
    <w:p>
      <w:pPr>
        <w:pStyle w:val="584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Формирование объема обязательств, подлежащих оплате за счет средств 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22</w:t>
      </w:r>
      <w:r>
        <w:rPr>
          <w:szCs w:val="24"/>
        </w:rPr>
        <w:t xml:space="preserve"> год, осуществлено исходя из следующих основных подх</w:t>
      </w:r>
      <w:r>
        <w:rPr>
          <w:szCs w:val="24"/>
        </w:rPr>
        <w:t xml:space="preserve">о</w:t>
      </w:r>
      <w:r>
        <w:rPr>
          <w:szCs w:val="24"/>
        </w:rPr>
        <w:t xml:space="preserve">дов: </w:t>
      </w:r>
      <w:r>
        <w:rPr>
          <w:szCs w:val="24"/>
        </w:rPr>
      </w:r>
      <w:r/>
    </w:p>
    <w:p>
      <w:pPr>
        <w:pStyle w:val="584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Расчет бюджетных проектировок на оплату труда работников муниципальн</w:t>
      </w:r>
      <w:r>
        <w:t xml:space="preserve">ого учреждения</w:t>
      </w:r>
      <w:r>
        <w:t xml:space="preserve"> осуществлен по фактически замещенным ставкам в рамках </w:t>
      </w:r>
      <w:r>
        <w:t xml:space="preserve">утвержденных штатных расписаний с учетом повышения МРОТ.</w:t>
      </w:r>
      <w:r>
        <w:t xml:space="preserve"> </w:t>
      </w:r>
      <w:r/>
    </w:p>
    <w:p>
      <w:pPr>
        <w:pStyle w:val="584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Страховые взносы в государственные внебю</w:t>
      </w:r>
      <w:r>
        <w:t xml:space="preserve">д</w:t>
      </w:r>
      <w:r>
        <w:t xml:space="preserve">жетные фонды  в размере </w:t>
      </w:r>
      <w:r>
        <w:t xml:space="preserve">30,2 %.</w:t>
      </w:r>
      <w:r/>
    </w:p>
    <w:p>
      <w:pPr>
        <w:pStyle w:val="584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</w:t>
      </w:r>
      <w:r>
        <w:t xml:space="preserve">оды на оплату коммунальных услуг </w:t>
      </w:r>
      <w:r>
        <w:t xml:space="preserve">учтены </w:t>
      </w:r>
      <w:r>
        <w:t xml:space="preserve">на уровне 2021 года </w:t>
      </w:r>
      <w:r>
        <w:rPr>
          <w:sz w:val="22"/>
          <w:szCs w:val="22"/>
        </w:rPr>
        <w:t xml:space="preserve">с учетом среднегодовой индексации тарифов на коммунальные </w:t>
      </w:r>
      <w:r>
        <w:rPr>
          <w:sz w:val="22"/>
          <w:szCs w:val="22"/>
        </w:rPr>
        <w:t xml:space="preserve">услуги на </w:t>
      </w:r>
      <w:r>
        <w:rPr>
          <w:sz w:val="22"/>
          <w:szCs w:val="22"/>
        </w:rPr>
        <w:t xml:space="preserve">6</w:t>
      </w:r>
      <w:r>
        <w:rPr>
          <w:sz w:val="22"/>
          <w:szCs w:val="22"/>
        </w:rPr>
        <w:t xml:space="preserve"> %.</w:t>
      </w:r>
      <w:r/>
    </w:p>
    <w:p>
      <w:pPr>
        <w:pStyle w:val="584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2021</w:t>
      </w:r>
      <w:r>
        <w:t xml:space="preserve"> года.</w:t>
      </w:r>
      <w:r/>
    </w:p>
    <w:p>
      <w:pPr>
        <w:pStyle w:val="584"/>
        <w:ind w:firstLine="709"/>
        <w:jc w:val="both"/>
        <w:spacing w:lineRule="auto" w:line="360"/>
        <w:tabs>
          <w:tab w:val="left" w:pos="993" w:leader="none"/>
        </w:tabs>
      </w:pPr>
      <w:r>
        <w:t xml:space="preserve">Процент обеспеченности расходов в проекте применен в р</w:t>
      </w:r>
      <w:r>
        <w:t xml:space="preserve">азмере, указанном в приложении 4</w:t>
      </w:r>
      <w:r>
        <w:t xml:space="preserve"> к пояснительной записке.</w:t>
      </w:r>
      <w:r/>
    </w:p>
    <w:p>
      <w:pPr>
        <w:pStyle w:val="584"/>
        <w:ind w:firstLine="709"/>
        <w:jc w:val="both"/>
        <w:spacing w:lineRule="auto" w:line="360"/>
        <w:tabs>
          <w:tab w:val="left" w:pos="993" w:leader="none"/>
        </w:tabs>
      </w:pPr>
      <w:r>
        <w:t xml:space="preserve">С учетом вышеперечисленных подходов объем и структура расходов бюдж</w:t>
      </w:r>
      <w:r>
        <w:t xml:space="preserve">е</w:t>
      </w:r>
      <w:r>
        <w:t xml:space="preserve">та </w:t>
      </w:r>
      <w:r>
        <w:t xml:space="preserve">Элисенваарского сельского поселения</w:t>
      </w:r>
      <w:r>
        <w:t xml:space="preserve"> по разделам классификации расходов бюджетов характеризуется сл</w:t>
      </w:r>
      <w:r>
        <w:t xml:space="preserve">е</w:t>
      </w:r>
      <w:r>
        <w:t xml:space="preserve">дующими данными:</w:t>
      </w:r>
      <w:r/>
    </w:p>
    <w:p>
      <w:pPr>
        <w:pStyle w:val="584"/>
        <w:ind w:firstLine="709"/>
        <w:jc w:val="both"/>
        <w:spacing w:lineRule="auto" w:line="360"/>
      </w:pPr>
      <w:r>
        <w:t xml:space="preserve">1. Объем расходов бюджета </w:t>
      </w:r>
      <w:r>
        <w:t xml:space="preserve">Элисенваарского сельского поселения</w:t>
      </w:r>
      <w:r>
        <w:t xml:space="preserve"> в целом на </w:t>
      </w:r>
      <w:r>
        <w:t xml:space="preserve">20</w:t>
      </w:r>
      <w:r>
        <w:t xml:space="preserve">22</w:t>
      </w:r>
      <w:r>
        <w:t xml:space="preserve"> год </w:t>
      </w:r>
      <w:r>
        <w:t xml:space="preserve">определен </w:t>
      </w:r>
      <w:r>
        <w:t xml:space="preserve">в размере </w:t>
      </w:r>
      <w:r>
        <w:rPr>
          <w:b/>
        </w:rPr>
        <w:t xml:space="preserve">4</w:t>
      </w:r>
      <w:r>
        <w:rPr>
          <w:b/>
        </w:rPr>
        <w:t xml:space="preserve"> </w:t>
      </w:r>
      <w:r>
        <w:rPr>
          <w:b/>
        </w:rPr>
        <w:t xml:space="preserve">562</w:t>
      </w:r>
      <w:r>
        <w:rPr>
          <w:b/>
        </w:rPr>
        <w:t xml:space="preserve">,</w:t>
      </w:r>
      <w:r>
        <w:rPr>
          <w:b/>
        </w:rPr>
        <w:t xml:space="preserve">50</w:t>
      </w:r>
      <w:r>
        <w:rPr>
          <w:b/>
        </w:rPr>
        <w:t xml:space="preserve"> </w:t>
      </w:r>
      <w:r>
        <w:t xml:space="preserve">тыс. рублей.</w:t>
      </w:r>
      <w:r>
        <w:t xml:space="preserve"> </w:t>
      </w:r>
      <w:r/>
    </w:p>
    <w:p>
      <w:pPr>
        <w:pStyle w:val="584"/>
        <w:ind w:firstLine="709"/>
        <w:jc w:val="both"/>
        <w:spacing w:lineRule="auto" w:line="360"/>
      </w:pPr>
      <w:r>
        <w:t xml:space="preserve">2. Структура расходов бюджета на </w:t>
      </w:r>
      <w:r>
        <w:t xml:space="preserve">20</w:t>
      </w:r>
      <w:r>
        <w:t xml:space="preserve">22</w:t>
      </w:r>
      <w:r>
        <w:t xml:space="preserve">  год:</w:t>
      </w:r>
      <w:r/>
    </w:p>
    <w:tbl>
      <w:tblPr>
        <w:tblW w:w="946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>
        <w:trPr>
          <w:cantSplit/>
          <w:trHeight w:val="527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Функциональная классификация расходов бюджета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Проект на </w:t>
            </w:r>
            <w:r>
              <w:rPr>
                <w:b/>
                <w:sz w:val="18"/>
                <w:szCs w:val="18"/>
              </w:rPr>
              <w:t xml:space="preserve">20</w:t>
            </w:r>
            <w:r>
              <w:rPr>
                <w:b/>
                <w:sz w:val="18"/>
                <w:szCs w:val="18"/>
              </w:rPr>
              <w:t xml:space="preserve">21</w:t>
            </w:r>
            <w:r>
              <w:rPr>
                <w:b/>
                <w:sz w:val="18"/>
                <w:szCs w:val="18"/>
              </w:rPr>
              <w:t xml:space="preserve"> год, т.р.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4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Уд. </w:t>
            </w:r>
            <w:r>
              <w:rPr>
                <w:b/>
                <w:sz w:val="18"/>
                <w:szCs w:val="18"/>
              </w:rPr>
              <w:t xml:space="preserve">В</w:t>
            </w:r>
            <w:r>
              <w:rPr>
                <w:b/>
                <w:sz w:val="18"/>
                <w:szCs w:val="18"/>
              </w:rPr>
              <w:t xml:space="preserve">ес в общем объеме расходов, %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Общегосударственные вопросы, всего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2390</w:t>
            </w:r>
            <w:r>
              <w:rPr>
                <w:sz w:val="20"/>
              </w:rPr>
              <w:t xml:space="preserve">,1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52,3</w:t>
            </w:r>
            <w:r/>
          </w:p>
        </w:tc>
      </w:tr>
      <w:tr>
        <w:trPr>
          <w:trHeight w:val="433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Национальная оборона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145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3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3,2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Национальная экономика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230,</w:t>
            </w:r>
            <w:r>
              <w:rPr>
                <w:sz w:val="20"/>
              </w:rPr>
              <w:t xml:space="preserve">70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5,</w:t>
            </w:r>
            <w:r>
              <w:rPr>
                <w:sz w:val="20"/>
              </w:rPr>
              <w:t xml:space="preserve">1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Жилищно-коммунальное хозяйство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ind w:left="-623" w:firstLine="709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186</w:t>
            </w:r>
            <w:r>
              <w:rPr>
                <w:sz w:val="20"/>
              </w:rPr>
              <w:t xml:space="preserve">,00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4,1</w:t>
            </w:r>
            <w:r>
              <w:rPr>
                <w:sz w:val="20"/>
              </w:rPr>
            </w:r>
            <w:r/>
          </w:p>
        </w:tc>
      </w:tr>
      <w:tr>
        <w:trPr>
          <w:trHeight w:val="360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4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. Культура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  <w:r>
              <w:rPr>
                <w:sz w:val="20"/>
              </w:rPr>
              <w:t xml:space="preserve">610</w:t>
            </w:r>
            <w:r>
              <w:rPr>
                <w:sz w:val="20"/>
              </w:rPr>
              <w:t xml:space="preserve">,4</w:t>
            </w:r>
            <w:r>
              <w:rPr>
                <w:sz w:val="20"/>
              </w:rPr>
              <w:t xml:space="preserve">0</w:t>
            </w:r>
            <w:r>
              <w:rPr>
                <w:sz w:val="20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35</w:t>
            </w:r>
            <w:r>
              <w:rPr>
                <w:sz w:val="20"/>
              </w:rPr>
              <w:t xml:space="preserve">,</w:t>
            </w:r>
            <w:r>
              <w:rPr>
                <w:sz w:val="20"/>
              </w:rPr>
              <w:t xml:space="preserve">3</w:t>
            </w:r>
            <w:r>
              <w:rPr>
                <w:sz w:val="20"/>
              </w:rPr>
            </w:r>
            <w:r/>
          </w:p>
        </w:tc>
      </w:tr>
      <w:tr>
        <w:trPr>
          <w:trHeight w:val="276"/>
        </w:trPr>
        <w:tc>
          <w:tcPr>
            <w:tcW w:w="5070" w:type="dxa"/>
            <w:vAlign w:val="bottom"/>
            <w:textDirection w:val="lrTb"/>
            <w:noWrap w:val="false"/>
          </w:tcPr>
          <w:p>
            <w:pPr>
              <w:pStyle w:val="584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БЮДЖЕТ</w:t>
            </w:r>
            <w:r/>
          </w:p>
        </w:tc>
        <w:tc>
          <w:tcPr>
            <w:tcW w:w="2268" w:type="dxa"/>
            <w:vAlign w:val="bottom"/>
            <w:textDirection w:val="lrTb"/>
            <w:noWrap w:val="false"/>
          </w:tcPr>
          <w:p>
            <w:pPr>
              <w:pStyle w:val="584"/>
              <w:ind w:firstLine="709"/>
              <w:spacing w:lineRule="auto" w:line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4562</w:t>
            </w:r>
            <w:r>
              <w:rPr>
                <w:b/>
                <w:sz w:val="20"/>
              </w:rPr>
              <w:t xml:space="preserve">,</w:t>
            </w:r>
            <w:r>
              <w:rPr>
                <w:b/>
                <w:sz w:val="20"/>
              </w:rPr>
              <w:t xml:space="preserve">50</w:t>
            </w:r>
            <w:r>
              <w:rPr>
                <w:b/>
                <w:sz w:val="20"/>
              </w:rPr>
            </w:r>
            <w:r/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pStyle w:val="584"/>
              <w:jc w:val="center"/>
              <w:spacing w:lineRule="auto" w:line="360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100,00</w:t>
            </w:r>
            <w:r>
              <w:rPr>
                <w:b/>
                <w:sz w:val="20"/>
                <w:highlight w:val="yellow"/>
              </w:rPr>
            </w:r>
            <w:r/>
          </w:p>
        </w:tc>
      </w:tr>
    </w:tbl>
    <w:p>
      <w:pPr>
        <w:pStyle w:val="584"/>
        <w:ind w:firstLine="709"/>
        <w:jc w:val="both"/>
        <w:spacing w:lineRule="auto" w:line="360"/>
      </w:pPr>
      <w:r/>
      <w:r/>
    </w:p>
    <w:p>
      <w:pPr>
        <w:pStyle w:val="584"/>
        <w:ind w:firstLine="709"/>
        <w:jc w:val="both"/>
        <w:spacing w:lineRule="auto" w:line="360"/>
      </w:pPr>
      <w:r>
        <w:t xml:space="preserve">Общий объем расходов на финансовое обеспечение решения общегосударственных расходов на </w:t>
      </w:r>
      <w:r>
        <w:t xml:space="preserve">20</w:t>
      </w:r>
      <w:r>
        <w:t xml:space="preserve">22</w:t>
      </w:r>
      <w:r>
        <w:t xml:space="preserve"> год сформирован в сумме  </w:t>
      </w:r>
      <w:r>
        <w:t xml:space="preserve">2</w:t>
      </w:r>
      <w:r>
        <w:t xml:space="preserve"> 390,</w:t>
      </w:r>
      <w:r>
        <w:t xml:space="preserve">10</w:t>
      </w:r>
      <w:r>
        <w:t xml:space="preserve"> </w:t>
      </w:r>
      <w:r>
        <w:t xml:space="preserve">тыс. рублей. </w:t>
      </w:r>
      <w:r/>
    </w:p>
    <w:p>
      <w:pPr>
        <w:pStyle w:val="584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разделу 0102 «Функционирование высшего должностного лица субъекта Российской Федерации и муниципального образования» </w:t>
      </w:r>
      <w:r/>
    </w:p>
    <w:p>
      <w:pPr>
        <w:pStyle w:val="584"/>
        <w:ind w:firstLine="709"/>
        <w:jc w:val="both"/>
        <w:spacing w:lineRule="auto" w:line="360"/>
      </w:pPr>
      <w:r>
        <w:t xml:space="preserve">   Предусмотрены расходы на обеспечение деятельности Главы Элисенваарского сельского поселения в сумме 812</w:t>
      </w:r>
      <w:r>
        <w:t xml:space="preserve">,8 тыс. руб. Расчет расходов на оплату труда осуществлен по фактически замещенной ставке в соответствии с утвержденным штатным расписанием и расходными обязательствами на уплату страховых взносов в соответствии </w:t>
      </w:r>
      <w:r>
        <w:t xml:space="preserve">со ставками, установленными федеральным законодательством. </w:t>
      </w:r>
      <w:r/>
    </w:p>
    <w:p>
      <w:pPr>
        <w:pStyle w:val="584"/>
        <w:ind w:firstLine="709"/>
        <w:jc w:val="both"/>
        <w:spacing w:lineRule="auto" w:line="360"/>
      </w:pPr>
      <w:r>
        <w:rPr>
          <w:b/>
        </w:rPr>
        <w:t xml:space="preserve">В составе расходов по подразделу </w:t>
      </w:r>
      <w:r>
        <w:rPr>
          <w:b/>
        </w:rPr>
        <w:t xml:space="preserve">0104 </w:t>
      </w:r>
      <w:r>
        <w:rPr>
          <w:b/>
        </w:rPr>
        <w:t xml:space="preserve">«Функционирование Правительства Российской Федер</w:t>
      </w:r>
      <w:r>
        <w:rPr>
          <w:b/>
        </w:rPr>
        <w:t xml:space="preserve">а</w:t>
      </w:r>
      <w:r>
        <w:rPr>
          <w:b/>
        </w:rPr>
        <w:t xml:space="preserve">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i/>
        </w:rPr>
        <w:t xml:space="preserve">»</w:t>
      </w:r>
      <w:r>
        <w:t xml:space="preserve"> </w:t>
      </w:r>
      <w:r/>
    </w:p>
    <w:p>
      <w:pPr>
        <w:pStyle w:val="584"/>
        <w:ind w:firstLine="709"/>
        <w:jc w:val="both"/>
        <w:spacing w:lineRule="auto" w:line="360"/>
      </w:pPr>
      <w:r>
        <w:t xml:space="preserve">Предусмотрены бюджетные ассигнования на осуществление органами местного самоуправления отдельных государственных полномочий Республики Карелия в сумме </w:t>
      </w:r>
      <w:r>
        <w:t xml:space="preserve">1570</w:t>
      </w:r>
      <w:r>
        <w:t xml:space="preserve">,3</w:t>
      </w:r>
      <w:r>
        <w:t xml:space="preserve">0</w:t>
      </w:r>
      <w:r>
        <w:t xml:space="preserve"> тыс.</w:t>
      </w:r>
      <w:r>
        <w:t xml:space="preserve"> руб.</w:t>
      </w:r>
      <w:r>
        <w:t xml:space="preserve"> Расчет расходов на оплату труда работников муниципального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</w:t>
      </w:r>
      <w:r>
        <w:t xml:space="preserve">аховых взносов:</w:t>
      </w:r>
      <w:r/>
    </w:p>
    <w:p>
      <w:pPr>
        <w:pStyle w:val="584"/>
        <w:ind w:firstLine="709"/>
        <w:jc w:val="both"/>
        <w:spacing w:lineRule="auto" w:line="360"/>
      </w:pPr>
      <w:r>
        <w:t xml:space="preserve">- оплата иных закупок товаров, работ и услуг для обеспечения государственных (муниципальных) нужд в сумме 197</w:t>
      </w:r>
      <w:r>
        <w:t xml:space="preserve">,6</w:t>
      </w:r>
      <w:r>
        <w:t xml:space="preserve">0 тыс. рублей;</w:t>
      </w:r>
      <w:r/>
    </w:p>
    <w:p>
      <w:pPr>
        <w:pStyle w:val="584"/>
        <w:ind w:firstLine="709"/>
        <w:jc w:val="both"/>
        <w:spacing w:lineRule="auto" w:line="360"/>
      </w:pPr>
      <w:r>
        <w:t xml:space="preserve">-  у</w:t>
      </w:r>
      <w:r>
        <w:t xml:space="preserve">плата налоговых и иных платежей в сумме 3</w:t>
      </w:r>
      <w:r>
        <w:t xml:space="preserve">,</w:t>
      </w:r>
      <w:r>
        <w:t xml:space="preserve">00 тыс. рублей;</w:t>
      </w:r>
      <w:r/>
    </w:p>
    <w:p>
      <w:pPr>
        <w:pStyle w:val="584"/>
        <w:ind w:firstLine="709"/>
        <w:jc w:val="both"/>
        <w:spacing w:lineRule="auto" w:line="360"/>
      </w:pPr>
      <w:r>
        <w:t xml:space="preserve">- по созданию и обеспечению деятельности административных комиссий и определению перечня должностных лиц, уполномоченных составлять протоколы об адм</w:t>
      </w:r>
      <w:r>
        <w:t xml:space="preserve">инистративных правонарушениях - 2,0</w:t>
      </w:r>
      <w:r>
        <w:t xml:space="preserve"> тыс. рублей;</w:t>
      </w:r>
      <w:r/>
    </w:p>
    <w:p>
      <w:pPr>
        <w:pStyle w:val="584"/>
        <w:ind w:firstLine="709"/>
        <w:jc w:val="both"/>
        <w:spacing w:lineRule="auto" w:line="360"/>
      </w:pPr>
      <w:r>
        <w:t xml:space="preserve">- на исполнение части переданных полномочий в соответствии с пунктом 6, части 1, статьи 14 федерального закона № 131-ФЗ – </w:t>
      </w:r>
      <w:r>
        <w:t xml:space="preserve">111</w:t>
      </w:r>
      <w:r>
        <w:t xml:space="preserve">,</w:t>
      </w:r>
      <w:r>
        <w:t xml:space="preserve">2</w:t>
      </w:r>
      <w:r>
        <w:t xml:space="preserve"> тыс. рублей.</w:t>
      </w:r>
      <w:r/>
    </w:p>
    <w:p>
      <w:pPr>
        <w:pStyle w:val="584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подразделу 0113  «Другие общегосударственные вопросы»</w:t>
      </w:r>
      <w:r>
        <w:rPr>
          <w:b/>
        </w:rPr>
        <w:t xml:space="preserve"> </w:t>
      </w:r>
      <w:r>
        <w:t xml:space="preserve">предусмотрены расходы в сумме - 7,0 тыс. рублей.</w:t>
      </w:r>
      <w:r>
        <w:rPr>
          <w:b/>
        </w:rPr>
      </w:r>
      <w:r/>
    </w:p>
    <w:p>
      <w:pPr>
        <w:pStyle w:val="628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По разделу</w:t>
      </w:r>
      <w:r>
        <w:rPr>
          <w:b/>
          <w:sz w:val="24"/>
          <w:szCs w:val="24"/>
          <w:lang w:val="ru-RU"/>
        </w:rPr>
        <w:t xml:space="preserve"> 0203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Национальная оборона</w:t>
      </w:r>
      <w:r>
        <w:rPr>
          <w:b/>
          <w:i/>
          <w:sz w:val="24"/>
          <w:szCs w:val="24"/>
        </w:rPr>
        <w:t xml:space="preserve">»</w:t>
      </w:r>
      <w:r>
        <w:rPr>
          <w:sz w:val="24"/>
          <w:szCs w:val="24"/>
        </w:rPr>
        <w:t xml:space="preserve"> предусмотрены межбюджетные трансферты поселениям на осуществление полномочий по первичному воинскому учету на территориях, где отсутствуют военные комиссариаты в размере </w:t>
      </w:r>
      <w:r>
        <w:rPr>
          <w:sz w:val="24"/>
          <w:szCs w:val="24"/>
          <w:lang w:val="ru-RU"/>
        </w:rPr>
        <w:t xml:space="preserve">145</w:t>
      </w:r>
      <w:r>
        <w:rPr>
          <w:sz w:val="24"/>
          <w:szCs w:val="24"/>
          <w:lang w:val="ru-RU"/>
        </w:rPr>
        <w:t xml:space="preserve">,</w:t>
      </w:r>
      <w:r>
        <w:rPr>
          <w:sz w:val="24"/>
          <w:szCs w:val="24"/>
          <w:lang w:val="ru-RU"/>
        </w:rPr>
        <w:t xml:space="preserve">3</w:t>
      </w:r>
      <w:r>
        <w:rPr>
          <w:sz w:val="24"/>
          <w:szCs w:val="24"/>
        </w:rPr>
        <w:t xml:space="preserve"> тыс. рублей.</w:t>
      </w:r>
      <w:r/>
    </w:p>
    <w:p>
      <w:pPr>
        <w:pStyle w:val="584"/>
        <w:ind w:firstLine="709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По разделу</w:t>
      </w:r>
      <w:r>
        <w:rPr>
          <w:b/>
          <w:szCs w:val="24"/>
        </w:rPr>
        <w:t xml:space="preserve"> 0409</w:t>
      </w:r>
      <w:r>
        <w:rPr>
          <w:b/>
          <w:szCs w:val="24"/>
        </w:rPr>
        <w:t xml:space="preserve"> </w:t>
      </w:r>
      <w:r>
        <w:rPr>
          <w:b/>
          <w:i/>
          <w:szCs w:val="24"/>
        </w:rPr>
        <w:t xml:space="preserve">«</w:t>
      </w:r>
      <w:r>
        <w:rPr>
          <w:b/>
          <w:szCs w:val="24"/>
        </w:rPr>
        <w:t xml:space="preserve">Национальная экономика</w:t>
      </w:r>
      <w:r>
        <w:rPr>
          <w:b/>
          <w:i/>
          <w:szCs w:val="24"/>
        </w:rPr>
        <w:t xml:space="preserve">»</w:t>
      </w:r>
      <w:r>
        <w:rPr>
          <w:szCs w:val="24"/>
        </w:rPr>
        <w:t xml:space="preserve"> предусмотрены расходы</w:t>
      </w:r>
      <w:r>
        <w:rPr>
          <w:szCs w:val="24"/>
        </w:rPr>
        <w:t xml:space="preserve">  дорожного фонда – </w:t>
      </w:r>
      <w:r>
        <w:rPr>
          <w:szCs w:val="24"/>
        </w:rPr>
        <w:t xml:space="preserve">230,7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;</w:t>
      </w:r>
      <w:r>
        <w:rPr>
          <w:szCs w:val="24"/>
        </w:rPr>
      </w:r>
      <w:r/>
    </w:p>
    <w:p>
      <w:pPr>
        <w:pStyle w:val="584"/>
        <w:ind w:firstLine="709"/>
        <w:jc w:val="both"/>
        <w:spacing w:lineRule="auto" w:line="360"/>
      </w:pPr>
      <w:r>
        <w:rPr>
          <w:b/>
        </w:rPr>
        <w:t xml:space="preserve">По разделу</w:t>
      </w:r>
      <w:r>
        <w:rPr>
          <w:b/>
        </w:rPr>
        <w:t xml:space="preserve"> 0503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Жилищно-коммунальное хозяйство</w:t>
      </w:r>
      <w:r>
        <w:rPr>
          <w:b/>
          <w:i/>
        </w:rPr>
        <w:t xml:space="preserve">»</w:t>
      </w:r>
      <w:r>
        <w:t xml:space="preserve"> в составе расходов бюджета  предусмотрены бюджетные ассигнования по следующим направлениям:</w:t>
      </w:r>
      <w:r/>
    </w:p>
    <w:p>
      <w:pPr>
        <w:pStyle w:val="584"/>
        <w:ind w:firstLine="709"/>
        <w:jc w:val="both"/>
        <w:spacing w:lineRule="auto" w:line="360"/>
      </w:pPr>
      <w:r>
        <w:t xml:space="preserve">- уличное освещение – </w:t>
      </w:r>
      <w:r>
        <w:t xml:space="preserve">146</w:t>
      </w:r>
      <w:r>
        <w:t xml:space="preserve">,</w:t>
      </w:r>
      <w:r>
        <w:t xml:space="preserve">0 тыс. рублей;</w:t>
      </w:r>
      <w:r/>
    </w:p>
    <w:p>
      <w:pPr>
        <w:pStyle w:val="584"/>
        <w:ind w:firstLine="709"/>
        <w:jc w:val="both"/>
        <w:spacing w:lineRule="auto" w:line="360"/>
      </w:pPr>
      <w:r>
        <w:t xml:space="preserve">- </w:t>
      </w:r>
      <w:r>
        <w:t xml:space="preserve">благоустройство</w:t>
      </w:r>
      <w:r>
        <w:t xml:space="preserve"> территории – 4</w:t>
      </w:r>
      <w:r>
        <w:t xml:space="preserve">0,0</w:t>
      </w:r>
      <w:r>
        <w:t xml:space="preserve"> тыс. рублей;</w:t>
      </w:r>
      <w:r/>
    </w:p>
    <w:p>
      <w:pPr>
        <w:pStyle w:val="584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rPr>
          <w:b/>
        </w:rPr>
        <w:t xml:space="preserve">П</w:t>
      </w:r>
      <w:r>
        <w:rPr>
          <w:b/>
        </w:rPr>
        <w:t xml:space="preserve">о подразделу</w:t>
      </w:r>
      <w:r>
        <w:rPr>
          <w:b/>
        </w:rPr>
        <w:t xml:space="preserve"> 0801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Культура, кинематография</w:t>
      </w:r>
      <w:r>
        <w:rPr>
          <w:b/>
          <w:i/>
        </w:rPr>
        <w:t xml:space="preserve">»</w:t>
      </w:r>
      <w:r>
        <w:rPr>
          <w:i/>
        </w:rPr>
        <w:t xml:space="preserve"> </w:t>
      </w:r>
      <w:r>
        <w:t xml:space="preserve">предусмотрены бюджетные ассигнования:</w:t>
      </w:r>
      <w:r/>
    </w:p>
    <w:p>
      <w:pPr>
        <w:pStyle w:val="584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на</w:t>
      </w:r>
      <w:r>
        <w:rPr>
          <w:szCs w:val="24"/>
        </w:rPr>
        <w:t xml:space="preserve"> выполнение функций казенным  учреждением МКУ «Эстерловский культурно-</w:t>
      </w:r>
      <w:r>
        <w:rPr>
          <w:szCs w:val="24"/>
        </w:rPr>
        <w:t xml:space="preserve">досуговый</w:t>
      </w:r>
      <w:r>
        <w:rPr>
          <w:szCs w:val="24"/>
        </w:rPr>
        <w:t xml:space="preserve"> центр»</w:t>
      </w:r>
      <w:r>
        <w:t xml:space="preserve"> в </w:t>
      </w:r>
      <w:r>
        <w:t xml:space="preserve">сумме </w:t>
      </w:r>
      <w:r>
        <w:t xml:space="preserve">1 </w:t>
      </w:r>
      <w:r>
        <w:t xml:space="preserve">610</w:t>
      </w:r>
      <w:r>
        <w:t xml:space="preserve">,4</w:t>
      </w:r>
      <w:r>
        <w:t xml:space="preserve">0</w:t>
      </w:r>
      <w:r>
        <w:t xml:space="preserve"> тыс. </w:t>
      </w:r>
      <w:r>
        <w:t xml:space="preserve">рублей. Расчет расходов на оплату труда работников казенного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страховых взносов. Часть расходов на оплату труда за счет программы Республики Карелия (</w:t>
      </w:r>
      <w: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) в сумме 127,7 тыс. рублей и софинансирования</w:t>
      </w:r>
      <w:r>
        <w:t xml:space="preserve"> расходов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 в сумме 31,93 тыс. рублей.</w:t>
      </w:r>
      <w:r/>
    </w:p>
    <w:p>
      <w:pPr>
        <w:pStyle w:val="584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 </w:t>
      </w:r>
      <w:r>
        <w:t xml:space="preserve">- оплата иных закупок товаров, работ и услуг для обеспечения государственных (муниципальных) нужд в сумме 164</w:t>
      </w:r>
      <w:r>
        <w:t xml:space="preserve">,</w:t>
      </w:r>
      <w:r>
        <w:t xml:space="preserve">2</w:t>
      </w:r>
      <w:r>
        <w:t xml:space="preserve">0 тыс. рублей;</w:t>
      </w:r>
      <w:r/>
    </w:p>
    <w:p>
      <w:pPr>
        <w:pStyle w:val="584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 уплата налоговых и иных платежей в сумме 4,50 тыс. рублей.</w:t>
      </w:r>
      <w:r>
        <w:rPr>
          <w:b/>
        </w:rPr>
      </w:r>
      <w:r/>
    </w:p>
    <w:p>
      <w:pPr>
        <w:pStyle w:val="584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/>
      <w:r/>
    </w:p>
    <w:p>
      <w:pPr>
        <w:pStyle w:val="584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5. </w:t>
      </w:r>
      <w:r>
        <w:rPr>
          <w:b/>
          <w:szCs w:val="24"/>
        </w:rPr>
        <w:t xml:space="preserve">ДЕФИЦИТ</w:t>
      </w:r>
      <w:r>
        <w:rPr>
          <w:b/>
          <w:szCs w:val="24"/>
        </w:rPr>
      </w:r>
      <w:r/>
    </w:p>
    <w:p>
      <w:pPr>
        <w:pStyle w:val="584"/>
        <w:jc w:val="center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4"/>
        <w:ind w:firstLine="567"/>
        <w:jc w:val="both"/>
        <w:spacing w:lineRule="auto" w:line="360"/>
        <w:rPr>
          <w:szCs w:val="24"/>
        </w:rPr>
      </w:pPr>
      <w:r>
        <w:rPr>
          <w:bCs/>
          <w:szCs w:val="24"/>
        </w:rPr>
        <w:t xml:space="preserve">Проект бюджета сформирован с </w:t>
      </w:r>
      <w:r>
        <w:rPr>
          <w:bCs/>
          <w:szCs w:val="24"/>
        </w:rPr>
        <w:t xml:space="preserve">де</w:t>
      </w:r>
      <w:r>
        <w:rPr>
          <w:bCs/>
          <w:szCs w:val="24"/>
        </w:rPr>
        <w:t xml:space="preserve">фицитом на </w:t>
      </w:r>
      <w:r>
        <w:rPr>
          <w:bCs/>
          <w:szCs w:val="24"/>
        </w:rPr>
        <w:t xml:space="preserve">20</w:t>
      </w:r>
      <w:r>
        <w:rPr>
          <w:bCs/>
          <w:szCs w:val="24"/>
        </w:rPr>
        <w:t xml:space="preserve">22</w:t>
      </w:r>
      <w:r>
        <w:rPr>
          <w:bCs/>
          <w:szCs w:val="24"/>
        </w:rPr>
        <w:t xml:space="preserve"> год в сумме </w:t>
      </w:r>
      <w:r>
        <w:rPr>
          <w:bCs/>
          <w:szCs w:val="24"/>
        </w:rPr>
        <w:t xml:space="preserve">381</w:t>
      </w:r>
      <w:r>
        <w:rPr>
          <w:bCs/>
          <w:szCs w:val="24"/>
        </w:rPr>
        <w:t xml:space="preserve">,</w:t>
      </w:r>
      <w:r>
        <w:rPr>
          <w:bCs/>
          <w:szCs w:val="24"/>
        </w:rPr>
        <w:t xml:space="preserve">66</w:t>
      </w:r>
      <w:r>
        <w:rPr>
          <w:bCs/>
          <w:szCs w:val="24"/>
        </w:rPr>
        <w:t xml:space="preserve"> тыс.</w:t>
      </w:r>
      <w:r>
        <w:rPr>
          <w:bCs/>
          <w:szCs w:val="24"/>
        </w:rPr>
        <w:t xml:space="preserve"> рублей</w:t>
      </w:r>
      <w:r>
        <w:rPr>
          <w:szCs w:val="24"/>
        </w:rPr>
        <w:t xml:space="preserve">, что составляет к объему доходов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без  учета финансовой помощи из бюджета Лахден</w:t>
      </w:r>
      <w:r>
        <w:rPr>
          <w:szCs w:val="24"/>
        </w:rPr>
        <w:t xml:space="preserve">похского муниципального района </w:t>
      </w:r>
      <w:r>
        <w:rPr>
          <w:szCs w:val="24"/>
        </w:rPr>
        <w:t xml:space="preserve">17</w:t>
      </w:r>
      <w:r>
        <w:rPr>
          <w:szCs w:val="24"/>
        </w:rPr>
        <w:t xml:space="preserve">,93</w:t>
      </w:r>
      <w:r>
        <w:rPr>
          <w:szCs w:val="24"/>
        </w:rPr>
        <w:t xml:space="preserve"> </w:t>
      </w:r>
      <w:r>
        <w:rPr>
          <w:szCs w:val="24"/>
        </w:rPr>
        <w:t xml:space="preserve">процента</w:t>
      </w:r>
      <w:r>
        <w:rPr>
          <w:szCs w:val="24"/>
        </w:rPr>
        <w:t xml:space="preserve">. </w:t>
      </w:r>
      <w:r>
        <w:rPr>
          <w:szCs w:val="24"/>
        </w:rPr>
        <w:t xml:space="preserve">Дефицит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20</w:t>
      </w:r>
      <w:r>
        <w:rPr>
          <w:szCs w:val="24"/>
        </w:rPr>
        <w:t xml:space="preserve">22</w:t>
      </w:r>
      <w:r>
        <w:rPr>
          <w:szCs w:val="24"/>
        </w:rPr>
        <w:t xml:space="preserve"> год превышает ограничения, установленные частью 1 пункта 3 статьи 92.1 Бюджетного кодекса Российской Федерации.</w:t>
      </w:r>
      <w:r>
        <w:rPr>
          <w:szCs w:val="24"/>
        </w:rPr>
        <w:t xml:space="preserve"> </w:t>
      </w:r>
      <w:r>
        <w:rPr>
          <w:szCs w:val="24"/>
        </w:rPr>
        <w:t xml:space="preserve">В соответствии с частью 3 указанн</w:t>
      </w:r>
      <w:r>
        <w:rPr>
          <w:szCs w:val="24"/>
        </w:rPr>
        <w:t xml:space="preserve">ой статьи, снижения остатков средств на счетах по учету средств местного бюджета, дефицит местного бюджета может превысить ограничения, установленные настоящим пунктом, в пределах суммы снижения остатков средств на счетах по учету средств местного бюджета.</w:t>
      </w:r>
      <w:r>
        <w:rPr>
          <w:szCs w:val="24"/>
        </w:rPr>
      </w:r>
      <w:r/>
    </w:p>
    <w:p>
      <w:pPr>
        <w:pStyle w:val="584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Погашение дефицита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20</w:t>
      </w:r>
      <w:r>
        <w:rPr>
          <w:szCs w:val="24"/>
        </w:rPr>
        <w:t xml:space="preserve">22</w:t>
      </w:r>
      <w:r>
        <w:rPr>
          <w:szCs w:val="24"/>
        </w:rPr>
        <w:t xml:space="preserve"> год в размере 381</w:t>
      </w:r>
      <w:r>
        <w:rPr>
          <w:szCs w:val="24"/>
        </w:rPr>
        <w:t xml:space="preserve">,66</w:t>
      </w:r>
      <w:r>
        <w:rPr>
          <w:szCs w:val="24"/>
        </w:rPr>
        <w:t xml:space="preserve"> тыс. руб. производится  за счет изменения остатков средств на счетах бюджета.</w:t>
      </w:r>
      <w:r>
        <w:rPr>
          <w:szCs w:val="24"/>
        </w:rPr>
      </w:r>
      <w:r/>
    </w:p>
    <w:p>
      <w:pPr>
        <w:pStyle w:val="594"/>
        <w:ind w:firstLine="709"/>
        <w:jc w:val="both"/>
        <w:spacing w:lineRule="auto" w:line="360"/>
        <w:tabs>
          <w:tab w:val="left" w:pos="0" w:leader="none"/>
        </w:tabs>
        <w:rPr>
          <w:szCs w:val="28"/>
          <w:highlight w:val="yellow"/>
        </w:rPr>
      </w:pPr>
      <w:r>
        <w:rPr>
          <w:sz w:val="24"/>
          <w:szCs w:val="28"/>
        </w:rPr>
        <w:t xml:space="preserve">Заемные источники финансирования дефицита бюджета на 20</w:t>
      </w:r>
      <w:r>
        <w:rPr>
          <w:sz w:val="24"/>
          <w:szCs w:val="28"/>
        </w:rPr>
        <w:t xml:space="preserve">22</w:t>
      </w:r>
      <w:r>
        <w:rPr>
          <w:sz w:val="24"/>
          <w:szCs w:val="28"/>
        </w:rPr>
        <w:t xml:space="preserve"> год не </w:t>
      </w:r>
      <w:r>
        <w:rPr>
          <w:sz w:val="24"/>
          <w:szCs w:val="28"/>
        </w:rPr>
        <w:t xml:space="preserve">предусмотрены.</w:t>
      </w:r>
      <w:r>
        <w:rPr>
          <w:szCs w:val="28"/>
          <w:highlight w:val="yellow"/>
        </w:rPr>
      </w:r>
      <w:r/>
    </w:p>
    <w:p>
      <w:pPr>
        <w:pStyle w:val="584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Предложенный проект обеспечивает соблюдение параметров, определенны</w:t>
      </w:r>
      <w:r>
        <w:rPr>
          <w:szCs w:val="24"/>
        </w:rPr>
        <w:t xml:space="preserve">х</w:t>
      </w:r>
      <w:r>
        <w:rPr>
          <w:szCs w:val="24"/>
        </w:rPr>
        <w:t xml:space="preserve"> Бюджетным Кодексом Российской Федерации. </w:t>
      </w:r>
      <w:r/>
    </w:p>
    <w:p>
      <w:pPr>
        <w:pStyle w:val="584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Проект решения не содержит коррупциогенных факторов. </w:t>
      </w:r>
      <w:r>
        <w:rPr>
          <w:szCs w:val="24"/>
        </w:rPr>
      </w:r>
      <w:r/>
    </w:p>
    <w:p>
      <w:pPr>
        <w:pStyle w:val="584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4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4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4"/>
        <w:ind w:firstLine="567"/>
        <w:jc w:val="both"/>
        <w:spacing w:lineRule="auto" w:line="360"/>
        <w:rPr>
          <w:vanish/>
          <w:sz w:val="20"/>
        </w:rPr>
      </w:pPr>
      <w:r>
        <w:rPr>
          <w:szCs w:val="24"/>
        </w:rPr>
        <w:t xml:space="preserve">   Главный специалист</w:t>
      </w:r>
      <w:r>
        <w:rPr>
          <w:szCs w:val="24"/>
        </w:rPr>
        <w:t xml:space="preserve">:                                               </w:t>
      </w:r>
      <w:r>
        <w:rPr>
          <w:szCs w:val="24"/>
        </w:rPr>
        <w:t xml:space="preserve">        </w:t>
      </w:r>
      <w:r>
        <w:rPr>
          <w:szCs w:val="24"/>
        </w:rPr>
        <w:t xml:space="preserve">В</w:t>
      </w:r>
      <w:r>
        <w:rPr>
          <w:szCs w:val="24"/>
        </w:rPr>
        <w:t xml:space="preserve">.</w:t>
      </w:r>
      <w:r>
        <w:rPr>
          <w:szCs w:val="24"/>
        </w:rPr>
        <w:t xml:space="preserve">О</w:t>
      </w:r>
      <w:r>
        <w:rPr>
          <w:szCs w:val="24"/>
        </w:rPr>
        <w:t xml:space="preserve">.</w:t>
      </w:r>
      <w:r>
        <w:rPr>
          <w:szCs w:val="24"/>
        </w:rPr>
        <w:t xml:space="preserve">Овчарова</w:t>
      </w:r>
      <w:r/>
    </w:p>
    <w:sectPr>
      <w:headerReference w:type="default" r:id="rId8"/>
      <w:footnotePr/>
      <w:type w:val="nextPage"/>
      <w:pgSz w:w="11906" w:h="16838" w:orient="portrait"/>
      <w:pgMar w:top="567" w:right="851" w:bottom="567" w:left="1701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YR">
    <w:panose1 w:val="02020603050405020304"/>
  </w:font>
  <w:font w:name="Symbol">
    <w:panose1 w:val="05050102010706020507"/>
  </w:font>
  <w:font w:name="Verdana">
    <w:panose1 w:val="020B06040305040402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6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4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4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4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4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4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4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4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4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4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84"/>
        <w:ind w:left="12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4"/>
        <w:ind w:left="19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4"/>
        <w:ind w:left="27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4"/>
        <w:ind w:left="34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4"/>
        <w:ind w:left="41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4"/>
        <w:ind w:left="48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4"/>
        <w:ind w:left="55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4"/>
        <w:ind w:left="63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4"/>
        <w:ind w:left="7022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4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4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4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4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4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4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4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4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4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4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4"/>
        <w:ind w:left="7331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4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4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4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4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4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4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4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4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4"/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4"/>
        <w:ind w:left="1069" w:hanging="360"/>
        <w:tabs>
          <w:tab w:val="left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4"/>
        <w:ind w:left="1789" w:hanging="360"/>
        <w:tabs>
          <w:tab w:val="left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4"/>
        <w:ind w:left="2509" w:hanging="180"/>
        <w:tabs>
          <w:tab w:val="left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4"/>
        <w:ind w:left="3229" w:hanging="360"/>
        <w:tabs>
          <w:tab w:val="left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4"/>
        <w:ind w:left="3949" w:hanging="360"/>
        <w:tabs>
          <w:tab w:val="left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4"/>
        <w:ind w:left="4669" w:hanging="180"/>
        <w:tabs>
          <w:tab w:val="left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4"/>
        <w:ind w:left="5389" w:hanging="360"/>
        <w:tabs>
          <w:tab w:val="left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4"/>
        <w:ind w:left="6109" w:hanging="360"/>
        <w:tabs>
          <w:tab w:val="left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4"/>
        <w:ind w:left="6829" w:hanging="180"/>
        <w:tabs>
          <w:tab w:val="left" w:pos="6829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4"/>
        <w:ind w:left="1183" w:hanging="360"/>
        <w:tabs>
          <w:tab w:val="left" w:pos="118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4"/>
        <w:ind w:left="1620" w:hanging="360"/>
        <w:tabs>
          <w:tab w:val="left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4"/>
        <w:ind w:left="2340" w:hanging="360"/>
        <w:tabs>
          <w:tab w:val="left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4"/>
        <w:ind w:left="3060" w:hanging="360"/>
        <w:tabs>
          <w:tab w:val="left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4"/>
        <w:ind w:left="3780" w:hanging="360"/>
        <w:tabs>
          <w:tab w:val="left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4"/>
        <w:ind w:left="4500" w:hanging="360"/>
        <w:tabs>
          <w:tab w:val="left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4"/>
        <w:ind w:left="5220" w:hanging="360"/>
        <w:tabs>
          <w:tab w:val="left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4"/>
        <w:ind w:left="5940" w:hanging="360"/>
        <w:tabs>
          <w:tab w:val="left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4"/>
        <w:ind w:left="6660" w:hanging="360"/>
        <w:tabs>
          <w:tab w:val="left" w:pos="666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84"/>
        <w:ind w:left="765" w:hanging="405"/>
        <w:tabs>
          <w:tab w:val="left" w:pos="7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4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4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4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4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4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4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4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4"/>
        <w:ind w:left="6480" w:hanging="18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4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4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4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4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4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4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4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4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4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4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4"/>
        <w:ind w:left="6829" w:hanging="180"/>
      </w:p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4"/>
        <w:ind w:left="927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84"/>
        <w:ind w:left="164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4"/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4"/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4"/>
        <w:ind w:left="380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4"/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4"/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4"/>
        <w:ind w:left="596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4"/>
        <w:ind w:left="668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4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4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4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4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4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4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4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4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4"/>
        <w:ind w:left="733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4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4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4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4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4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4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4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4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4"/>
        <w:ind w:left="6829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2">
    <w:name w:val="Heading 1"/>
    <w:link w:val="41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13">
    <w:name w:val="Heading 1 Char"/>
    <w:link w:val="412"/>
    <w:uiPriority w:val="9"/>
    <w:rPr>
      <w:rFonts w:ascii="Arial" w:hAnsi="Arial" w:cs="Arial" w:eastAsia="Arial"/>
      <w:sz w:val="40"/>
      <w:szCs w:val="40"/>
    </w:rPr>
  </w:style>
  <w:style w:type="paragraph" w:styleId="414">
    <w:name w:val="Heading 2"/>
    <w:link w:val="41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5">
    <w:name w:val="Heading 2 Char"/>
    <w:link w:val="414"/>
    <w:uiPriority w:val="9"/>
    <w:rPr>
      <w:rFonts w:ascii="Arial" w:hAnsi="Arial" w:cs="Arial" w:eastAsia="Arial"/>
      <w:sz w:val="34"/>
    </w:rPr>
  </w:style>
  <w:style w:type="paragraph" w:styleId="416">
    <w:name w:val="Heading 3"/>
    <w:link w:val="41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17">
    <w:name w:val="Heading 3 Char"/>
    <w:link w:val="416"/>
    <w:uiPriority w:val="9"/>
    <w:rPr>
      <w:rFonts w:ascii="Arial" w:hAnsi="Arial" w:cs="Arial" w:eastAsia="Arial"/>
      <w:sz w:val="30"/>
      <w:szCs w:val="30"/>
    </w:rPr>
  </w:style>
  <w:style w:type="paragraph" w:styleId="418">
    <w:name w:val="Heading 4"/>
    <w:link w:val="41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9">
    <w:name w:val="Heading 4 Char"/>
    <w:link w:val="418"/>
    <w:uiPriority w:val="9"/>
    <w:rPr>
      <w:rFonts w:ascii="Arial" w:hAnsi="Arial" w:cs="Arial" w:eastAsia="Arial"/>
      <w:b/>
      <w:bCs/>
      <w:sz w:val="26"/>
      <w:szCs w:val="26"/>
    </w:rPr>
  </w:style>
  <w:style w:type="paragraph" w:styleId="420">
    <w:name w:val="Heading 5"/>
    <w:link w:val="42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21">
    <w:name w:val="Heading 5 Char"/>
    <w:link w:val="420"/>
    <w:uiPriority w:val="9"/>
    <w:rPr>
      <w:rFonts w:ascii="Arial" w:hAnsi="Arial" w:cs="Arial" w:eastAsia="Arial"/>
      <w:b/>
      <w:bCs/>
      <w:sz w:val="24"/>
      <w:szCs w:val="24"/>
    </w:rPr>
  </w:style>
  <w:style w:type="paragraph" w:styleId="422">
    <w:name w:val="Heading 6"/>
    <w:link w:val="42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3">
    <w:name w:val="Heading 6 Char"/>
    <w:link w:val="422"/>
    <w:uiPriority w:val="9"/>
    <w:rPr>
      <w:rFonts w:ascii="Arial" w:hAnsi="Arial" w:cs="Arial" w:eastAsia="Arial"/>
      <w:b/>
      <w:bCs/>
      <w:sz w:val="22"/>
      <w:szCs w:val="22"/>
    </w:rPr>
  </w:style>
  <w:style w:type="paragraph" w:styleId="424">
    <w:name w:val="Heading 7"/>
    <w:link w:val="42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5">
    <w:name w:val="Heading 7 Char"/>
    <w:link w:val="42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6">
    <w:name w:val="Heading 8"/>
    <w:link w:val="42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7">
    <w:name w:val="Heading 8 Char"/>
    <w:link w:val="426"/>
    <w:uiPriority w:val="9"/>
    <w:rPr>
      <w:rFonts w:ascii="Arial" w:hAnsi="Arial" w:cs="Arial" w:eastAsia="Arial"/>
      <w:i/>
      <w:iCs/>
      <w:sz w:val="22"/>
      <w:szCs w:val="22"/>
    </w:rPr>
  </w:style>
  <w:style w:type="paragraph" w:styleId="428">
    <w:name w:val="Heading 9"/>
    <w:link w:val="42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9">
    <w:name w:val="Heading 9 Char"/>
    <w:link w:val="428"/>
    <w:uiPriority w:val="9"/>
    <w:rPr>
      <w:rFonts w:ascii="Arial" w:hAnsi="Arial" w:cs="Arial" w:eastAsia="Arial"/>
      <w:i/>
      <w:iCs/>
      <w:sz w:val="21"/>
      <w:szCs w:val="21"/>
    </w:rPr>
  </w:style>
  <w:style w:type="paragraph" w:styleId="430">
    <w:name w:val="List Paragraph"/>
    <w:qFormat/>
    <w:uiPriority w:val="34"/>
    <w:pPr>
      <w:contextualSpacing w:val="true"/>
      <w:ind w:left="720"/>
    </w:pPr>
  </w:style>
  <w:style w:type="paragraph" w:styleId="431">
    <w:name w:val="No Spacing"/>
    <w:qFormat/>
    <w:uiPriority w:val="1"/>
    <w:pPr>
      <w:spacing w:lineRule="auto" w:line="240" w:after="0" w:before="0"/>
    </w:pPr>
  </w:style>
  <w:style w:type="paragraph" w:styleId="432">
    <w:name w:val="Title"/>
    <w:link w:val="4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3">
    <w:name w:val="Title Char"/>
    <w:link w:val="432"/>
    <w:uiPriority w:val="10"/>
    <w:rPr>
      <w:sz w:val="48"/>
      <w:szCs w:val="48"/>
    </w:rPr>
  </w:style>
  <w:style w:type="paragraph" w:styleId="434">
    <w:name w:val="Subtitle"/>
    <w:link w:val="435"/>
    <w:qFormat/>
    <w:uiPriority w:val="11"/>
    <w:rPr>
      <w:sz w:val="24"/>
      <w:szCs w:val="24"/>
    </w:rPr>
    <w:pPr>
      <w:spacing w:after="200" w:before="200"/>
    </w:pPr>
  </w:style>
  <w:style w:type="character" w:styleId="435">
    <w:name w:val="Subtitle Char"/>
    <w:link w:val="434"/>
    <w:uiPriority w:val="11"/>
    <w:rPr>
      <w:sz w:val="24"/>
      <w:szCs w:val="24"/>
    </w:rPr>
  </w:style>
  <w:style w:type="paragraph" w:styleId="436">
    <w:name w:val="Quote"/>
    <w:link w:val="437"/>
    <w:qFormat/>
    <w:uiPriority w:val="29"/>
    <w:rPr>
      <w:i/>
    </w:rPr>
    <w:pPr>
      <w:ind w:left="720" w:right="720"/>
    </w:pPr>
  </w:style>
  <w:style w:type="character" w:styleId="437">
    <w:name w:val="Quote Char"/>
    <w:link w:val="436"/>
    <w:uiPriority w:val="29"/>
    <w:rPr>
      <w:i/>
    </w:rPr>
  </w:style>
  <w:style w:type="paragraph" w:styleId="438">
    <w:name w:val="Intense Quote"/>
    <w:link w:val="4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9">
    <w:name w:val="Intense Quote Char"/>
    <w:link w:val="438"/>
    <w:uiPriority w:val="30"/>
    <w:rPr>
      <w:i/>
    </w:rPr>
  </w:style>
  <w:style w:type="paragraph" w:styleId="440">
    <w:name w:val="Header"/>
    <w:link w:val="4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1">
    <w:name w:val="Header Char"/>
    <w:link w:val="440"/>
    <w:uiPriority w:val="99"/>
  </w:style>
  <w:style w:type="paragraph" w:styleId="442">
    <w:name w:val="Footer"/>
    <w:link w:val="4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3">
    <w:name w:val="Footer Char"/>
    <w:link w:val="442"/>
    <w:uiPriority w:val="99"/>
  </w:style>
  <w:style w:type="table" w:styleId="44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0">
    <w:name w:val="Hyperlink"/>
    <w:uiPriority w:val="99"/>
    <w:unhideWhenUsed/>
    <w:rPr>
      <w:color w:val="0000FF" w:themeColor="hyperlink"/>
      <w:u w:val="single"/>
    </w:rPr>
  </w:style>
  <w:style w:type="paragraph" w:styleId="571">
    <w:name w:val="footnote text"/>
    <w:link w:val="572"/>
    <w:uiPriority w:val="99"/>
    <w:semiHidden/>
    <w:unhideWhenUsed/>
    <w:rPr>
      <w:sz w:val="18"/>
    </w:rPr>
    <w:pPr>
      <w:spacing w:lineRule="auto" w:line="240" w:after="40"/>
    </w:pPr>
  </w:style>
  <w:style w:type="character" w:styleId="572">
    <w:name w:val="Footnote Text Char"/>
    <w:link w:val="571"/>
    <w:uiPriority w:val="99"/>
    <w:rPr>
      <w:sz w:val="18"/>
    </w:rPr>
  </w:style>
  <w:style w:type="character" w:styleId="573">
    <w:name w:val="footnote reference"/>
    <w:uiPriority w:val="99"/>
    <w:unhideWhenUsed/>
    <w:rPr>
      <w:vertAlign w:val="superscript"/>
    </w:rPr>
  </w:style>
  <w:style w:type="paragraph" w:styleId="574">
    <w:name w:val="toc 1"/>
    <w:uiPriority w:val="39"/>
    <w:unhideWhenUsed/>
    <w:pPr>
      <w:ind w:left="0" w:right="0" w:firstLine="0"/>
      <w:spacing w:after="57"/>
    </w:pPr>
  </w:style>
  <w:style w:type="paragraph" w:styleId="575">
    <w:name w:val="toc 2"/>
    <w:uiPriority w:val="39"/>
    <w:unhideWhenUsed/>
    <w:pPr>
      <w:ind w:left="283" w:right="0" w:firstLine="0"/>
      <w:spacing w:after="57"/>
    </w:pPr>
  </w:style>
  <w:style w:type="paragraph" w:styleId="576">
    <w:name w:val="toc 3"/>
    <w:uiPriority w:val="39"/>
    <w:unhideWhenUsed/>
    <w:pPr>
      <w:ind w:left="567" w:right="0" w:firstLine="0"/>
      <w:spacing w:after="57"/>
    </w:pPr>
  </w:style>
  <w:style w:type="paragraph" w:styleId="577">
    <w:name w:val="toc 4"/>
    <w:uiPriority w:val="39"/>
    <w:unhideWhenUsed/>
    <w:pPr>
      <w:ind w:left="850" w:right="0" w:firstLine="0"/>
      <w:spacing w:after="57"/>
    </w:pPr>
  </w:style>
  <w:style w:type="paragraph" w:styleId="578">
    <w:name w:val="toc 5"/>
    <w:uiPriority w:val="39"/>
    <w:unhideWhenUsed/>
    <w:pPr>
      <w:ind w:left="1134" w:right="0" w:firstLine="0"/>
      <w:spacing w:after="57"/>
    </w:pPr>
  </w:style>
  <w:style w:type="paragraph" w:styleId="579">
    <w:name w:val="toc 6"/>
    <w:uiPriority w:val="39"/>
    <w:unhideWhenUsed/>
    <w:pPr>
      <w:ind w:left="1417" w:right="0" w:firstLine="0"/>
      <w:spacing w:after="57"/>
    </w:pPr>
  </w:style>
  <w:style w:type="paragraph" w:styleId="580">
    <w:name w:val="toc 7"/>
    <w:uiPriority w:val="39"/>
    <w:unhideWhenUsed/>
    <w:pPr>
      <w:ind w:left="1701" w:right="0" w:firstLine="0"/>
      <w:spacing w:after="57"/>
    </w:pPr>
  </w:style>
  <w:style w:type="paragraph" w:styleId="581">
    <w:name w:val="toc 8"/>
    <w:uiPriority w:val="39"/>
    <w:unhideWhenUsed/>
    <w:pPr>
      <w:ind w:left="1984" w:right="0" w:firstLine="0"/>
      <w:spacing w:after="57"/>
    </w:pPr>
  </w:style>
  <w:style w:type="paragraph" w:styleId="582">
    <w:name w:val="toc 9"/>
    <w:uiPriority w:val="39"/>
    <w:unhideWhenUsed/>
    <w:pPr>
      <w:ind w:left="2268" w:right="0" w:firstLine="0"/>
      <w:spacing w:after="57"/>
    </w:pPr>
  </w:style>
  <w:style w:type="paragraph" w:styleId="583">
    <w:name w:val="TOC Heading"/>
    <w:uiPriority w:val="39"/>
    <w:unhideWhenUsed/>
  </w:style>
  <w:style w:type="paragraph" w:styleId="584">
    <w:name w:val="Обычный"/>
    <w:next w:val="584"/>
    <w:link w:val="584"/>
    <w:rPr>
      <w:sz w:val="24"/>
      <w:lang w:val="ru-RU" w:bidi="ar-SA" w:eastAsia="ru-RU"/>
    </w:rPr>
  </w:style>
  <w:style w:type="paragraph" w:styleId="585">
    <w:name w:val="Заголовок 1"/>
    <w:basedOn w:val="584"/>
    <w:next w:val="584"/>
    <w:link w:val="584"/>
    <w:rPr>
      <w:b/>
      <w:sz w:val="28"/>
    </w:rPr>
    <w:pPr>
      <w:ind w:firstLine="851"/>
      <w:keepNext/>
      <w:outlineLvl w:val="0"/>
    </w:pPr>
  </w:style>
  <w:style w:type="paragraph" w:styleId="586">
    <w:name w:val="Заголовок 2"/>
    <w:basedOn w:val="584"/>
    <w:next w:val="584"/>
    <w:link w:val="592"/>
    <w:rPr>
      <w:rFonts w:ascii="Cambria" w:hAnsi="Cambria"/>
      <w:b/>
      <w:bCs/>
      <w:i/>
      <w:iCs/>
      <w:sz w:val="28"/>
      <w:szCs w:val="28"/>
      <w:lang w:val="en-US" w:eastAsia="en-US"/>
    </w:rPr>
    <w:pPr>
      <w:keepNext/>
      <w:spacing w:after="60" w:before="240"/>
      <w:outlineLvl w:val="1"/>
    </w:pPr>
  </w:style>
  <w:style w:type="paragraph" w:styleId="587">
    <w:name w:val="Заголовок 6"/>
    <w:basedOn w:val="584"/>
    <w:next w:val="584"/>
    <w:link w:val="584"/>
    <w:rPr>
      <w:b/>
      <w:bCs/>
      <w:sz w:val="22"/>
      <w:szCs w:val="22"/>
    </w:rPr>
    <w:pPr>
      <w:spacing w:after="60" w:before="240"/>
      <w:outlineLvl w:val="5"/>
    </w:pPr>
  </w:style>
  <w:style w:type="paragraph" w:styleId="588">
    <w:name w:val="Заголовок 9"/>
    <w:basedOn w:val="584"/>
    <w:next w:val="584"/>
    <w:link w:val="584"/>
    <w:rPr>
      <w:rFonts w:ascii="Cambria" w:hAnsi="Cambria"/>
      <w:sz w:val="22"/>
      <w:szCs w:val="22"/>
    </w:rPr>
    <w:pPr>
      <w:spacing w:after="60" w:before="240"/>
      <w:outlineLvl w:val="8"/>
    </w:pPr>
  </w:style>
  <w:style w:type="character" w:styleId="589">
    <w:name w:val="Основной шрифт абзаца, Знак Знак Знак Знак Знак Знак Знак Знак Знак Знак Знак Знак Знак Знак Знак Знак"/>
    <w:next w:val="589"/>
    <w:link w:val="584"/>
    <w:semiHidden/>
  </w:style>
  <w:style w:type="table" w:styleId="590">
    <w:name w:val="Обычная таблица"/>
    <w:next w:val="590"/>
    <w:link w:val="584"/>
    <w:semiHidden/>
    <w:tblPr/>
  </w:style>
  <w:style w:type="numbering" w:styleId="591">
    <w:name w:val="Нет списка"/>
    <w:next w:val="591"/>
    <w:link w:val="584"/>
    <w:semiHidden/>
  </w:style>
  <w:style w:type="character" w:styleId="592">
    <w:name w:val="Заголовок 2 Знак"/>
    <w:next w:val="592"/>
    <w:link w:val="586"/>
    <w:semiHidden/>
    <w:rPr>
      <w:rFonts w:ascii="Cambria" w:hAnsi="Cambria" w:eastAsia="Times New Roman"/>
      <w:b/>
      <w:bCs/>
      <w:i/>
      <w:iCs/>
      <w:sz w:val="28"/>
      <w:szCs w:val="28"/>
    </w:rPr>
  </w:style>
  <w:style w:type="paragraph" w:styleId="593">
    <w:name w:val="Основной текст с отступом,Нумерованный список !!,Надин стиль,Основной текст 1,Основной текст без отступа Знак Знак"/>
    <w:basedOn w:val="584"/>
    <w:next w:val="593"/>
    <w:link w:val="594"/>
    <w:rPr>
      <w:sz w:val="28"/>
      <w:lang w:val="en-US" w:eastAsia="en-US"/>
    </w:rPr>
    <w:pPr>
      <w:ind w:firstLine="851"/>
      <w:jc w:val="both"/>
    </w:pPr>
  </w:style>
  <w:style w:type="character" w:styleId="594">
    <w:name w:val="Основной текст с отступом Знак,Нумерованный список !! Знак,Надин стиль Знак,Основной текст 1 Знак,Основной текст без отступа Знак Знак Знак"/>
    <w:next w:val="594"/>
    <w:link w:val="593"/>
    <w:rPr>
      <w:sz w:val="28"/>
    </w:rPr>
  </w:style>
  <w:style w:type="paragraph" w:styleId="595">
    <w:name w:val="Основной текст с отступом 2"/>
    <w:basedOn w:val="584"/>
    <w:next w:val="595"/>
    <w:link w:val="584"/>
    <w:rPr>
      <w:u w:val="single"/>
    </w:rPr>
    <w:pPr>
      <w:ind w:firstLine="851"/>
      <w:jc w:val="both"/>
    </w:pPr>
  </w:style>
  <w:style w:type="paragraph" w:styleId="596">
    <w:name w:val="Основной текст с отступом 3"/>
    <w:basedOn w:val="584"/>
    <w:next w:val="596"/>
    <w:link w:val="584"/>
    <w:rPr>
      <w:sz w:val="16"/>
      <w:szCs w:val="16"/>
    </w:rPr>
    <w:pPr>
      <w:ind w:left="283"/>
      <w:spacing w:after="120"/>
    </w:pPr>
  </w:style>
  <w:style w:type="paragraph" w:styleId="597">
    <w:name w:val="Название"/>
    <w:basedOn w:val="584"/>
    <w:next w:val="597"/>
    <w:link w:val="584"/>
    <w:rPr>
      <w:b/>
      <w:sz w:val="28"/>
    </w:rPr>
    <w:pPr>
      <w:ind w:firstLine="720"/>
      <w:jc w:val="center"/>
      <w:spacing w:lineRule="auto" w:line="360"/>
    </w:pPr>
  </w:style>
  <w:style w:type="paragraph" w:styleId="598">
    <w:name w:val="Основной текст"/>
    <w:basedOn w:val="584"/>
    <w:next w:val="598"/>
    <w:link w:val="584"/>
    <w:rPr>
      <w:szCs w:val="24"/>
    </w:rPr>
    <w:pPr>
      <w:spacing w:after="120"/>
    </w:pPr>
  </w:style>
  <w:style w:type="table" w:styleId="599">
    <w:name w:val="Сетка таблицы"/>
    <w:basedOn w:val="590"/>
    <w:next w:val="599"/>
    <w:link w:val="584"/>
    <w:tblPr/>
  </w:style>
  <w:style w:type="paragraph" w:styleId="600">
    <w:name w:val=" Знак Знак Знак Знак Знак"/>
    <w:basedOn w:val="584"/>
    <w:next w:val="600"/>
    <w:link w:val="584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601">
    <w:name w:val=" Знак Знак Знак Знак Знак Знак"/>
    <w:basedOn w:val="584"/>
    <w:next w:val="601"/>
    <w:link w:val="584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2">
    <w:name w:val=" Знак Знак Знак Знак Знак Знак1 Знак Знак Знак"/>
    <w:basedOn w:val="584"/>
    <w:next w:val="602"/>
    <w:link w:val="584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3">
    <w:name w:val="Основной текст 2"/>
    <w:basedOn w:val="584"/>
    <w:next w:val="603"/>
    <w:link w:val="584"/>
    <w:rPr>
      <w:szCs w:val="24"/>
    </w:rPr>
    <w:pPr>
      <w:spacing w:lineRule="auto" w:line="480" w:after="120"/>
    </w:pPr>
  </w:style>
  <w:style w:type="paragraph" w:styleId="604">
    <w:name w:val="ConsPlusNonformat"/>
    <w:next w:val="604"/>
    <w:link w:val="584"/>
    <w:rPr>
      <w:rFonts w:ascii="Courier New" w:hAnsi="Courier New"/>
      <w:lang w:val="ru-RU" w:bidi="ar-SA" w:eastAsia="ru-RU"/>
    </w:rPr>
  </w:style>
  <w:style w:type="paragraph" w:styleId="605">
    <w:name w:val=" Знак Знак Знак Знак Знак Знак1 Знак"/>
    <w:basedOn w:val="584"/>
    <w:next w:val="605"/>
    <w:link w:val="584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6">
    <w:name w:val=" Знак Знак Знак Знак Знак Знак1 Знак Знак Знак Знак Знак Знак"/>
    <w:basedOn w:val="584"/>
    <w:next w:val="606"/>
    <w:link w:val="584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7">
    <w:name w:val=" Знак1 Знак Знак Знак"/>
    <w:basedOn w:val="584"/>
    <w:next w:val="607"/>
    <w:link w:val="584"/>
    <w:rPr>
      <w:rFonts w:ascii="Verdana" w:hAnsi="Verdana"/>
      <w:sz w:val="20"/>
      <w:lang w:val="en-US" w:eastAsia="en-US"/>
    </w:rPr>
  </w:style>
  <w:style w:type="paragraph" w:styleId="608">
    <w:name w:val="ЭЭГ"/>
    <w:basedOn w:val="584"/>
    <w:next w:val="608"/>
    <w:link w:val="584"/>
    <w:rPr>
      <w:szCs w:val="24"/>
    </w:rPr>
    <w:pPr>
      <w:ind w:firstLine="720"/>
      <w:jc w:val="both"/>
      <w:spacing w:lineRule="auto" w:line="360"/>
    </w:pPr>
  </w:style>
  <w:style w:type="paragraph" w:styleId="609">
    <w:name w:val="ConsPlusNormal"/>
    <w:next w:val="609"/>
    <w:link w:val="584"/>
    <w:rPr>
      <w:rFonts w:ascii="Arial" w:hAnsi="Arial"/>
      <w:lang w:val="ru-RU" w:bidi="ar-SA" w:eastAsia="ru-RU"/>
    </w:rPr>
    <w:pPr>
      <w:ind w:firstLine="720"/>
    </w:pPr>
  </w:style>
  <w:style w:type="paragraph" w:styleId="610">
    <w:name w:val="Красная строка 2"/>
    <w:basedOn w:val="593"/>
    <w:next w:val="610"/>
    <w:link w:val="584"/>
    <w:rPr>
      <w:sz w:val="24"/>
    </w:rPr>
    <w:pPr>
      <w:ind w:left="283" w:firstLine="210"/>
      <w:jc w:val="left"/>
      <w:spacing w:after="120"/>
    </w:pPr>
  </w:style>
  <w:style w:type="character" w:styleId="611">
    <w:name w:val="Красная строка 2 Знак"/>
    <w:basedOn w:val="594"/>
    <w:next w:val="611"/>
    <w:link w:val="610"/>
  </w:style>
  <w:style w:type="paragraph" w:styleId="612">
    <w:name w:val="Мой стиль"/>
    <w:basedOn w:val="584"/>
    <w:next w:val="612"/>
    <w:link w:val="584"/>
    <w:rPr>
      <w:sz w:val="28"/>
      <w:szCs w:val="28"/>
    </w:rPr>
    <w:pPr>
      <w:ind w:firstLine="567"/>
      <w:jc w:val="both"/>
      <w:spacing w:lineRule="auto" w:line="360"/>
    </w:pPr>
  </w:style>
  <w:style w:type="character" w:styleId="613">
    <w:name w:val="Font Style34"/>
    <w:next w:val="613"/>
    <w:link w:val="584"/>
    <w:rPr>
      <w:rFonts w:ascii="Times New Roman" w:hAnsi="Times New Roman"/>
      <w:sz w:val="24"/>
      <w:szCs w:val="24"/>
    </w:rPr>
  </w:style>
  <w:style w:type="paragraph" w:styleId="614">
    <w:name w:val="ConsNormal"/>
    <w:next w:val="614"/>
    <w:link w:val="584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615">
    <w:name w:val="Основной текст с отступом.Нумерованный список !!.Надин стиль.Основной текст 1"/>
    <w:basedOn w:val="584"/>
    <w:next w:val="615"/>
    <w:link w:val="584"/>
    <w:rPr>
      <w:sz w:val="28"/>
    </w:rPr>
    <w:pPr>
      <w:ind w:right="139" w:firstLine="567"/>
      <w:jc w:val="both"/>
      <w:tabs>
        <w:tab w:val="left" w:pos="8647" w:leader="none"/>
      </w:tabs>
    </w:pPr>
  </w:style>
  <w:style w:type="paragraph" w:styleId="616">
    <w:name w:val="NormalANX"/>
    <w:basedOn w:val="584"/>
    <w:next w:val="616"/>
    <w:link w:val="584"/>
    <w:rPr>
      <w:sz w:val="28"/>
    </w:rPr>
    <w:pPr>
      <w:ind w:firstLine="720"/>
      <w:jc w:val="both"/>
      <w:spacing w:lineRule="auto" w:line="360" w:after="240" w:before="240"/>
    </w:pPr>
  </w:style>
  <w:style w:type="paragraph" w:styleId="617">
    <w:name w:val="ConsPlusTitle"/>
    <w:next w:val="617"/>
    <w:link w:val="584"/>
    <w:rPr>
      <w:rFonts w:ascii="Arial" w:hAnsi="Arial"/>
      <w:b/>
      <w:bCs/>
      <w:lang w:val="ru-RU" w:bidi="ar-SA" w:eastAsia="ru-RU"/>
    </w:rPr>
  </w:style>
  <w:style w:type="paragraph" w:styleId="618">
    <w:name w:val="Верхний колонтитул"/>
    <w:basedOn w:val="584"/>
    <w:next w:val="618"/>
    <w:link w:val="619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19">
    <w:name w:val="Верхний колонтитул Знак"/>
    <w:next w:val="619"/>
    <w:link w:val="618"/>
    <w:rPr>
      <w:sz w:val="24"/>
    </w:rPr>
  </w:style>
  <w:style w:type="paragraph" w:styleId="620">
    <w:name w:val="Нижний колонтитул, Знак"/>
    <w:basedOn w:val="584"/>
    <w:next w:val="620"/>
    <w:link w:val="621"/>
    <w:semiHidden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1">
    <w:name w:val="Нижний колонтитул Знак, Знак Знак"/>
    <w:next w:val="621"/>
    <w:link w:val="620"/>
    <w:semiHidden/>
    <w:rPr>
      <w:sz w:val="24"/>
    </w:rPr>
  </w:style>
  <w:style w:type="paragraph" w:styleId="622">
    <w:name w:val=" Знак Знак Знак Знак Знак Знак Знак Знак Знак Знак Знак Знак Знак Знак Знак"/>
    <w:basedOn w:val="584"/>
    <w:next w:val="622"/>
    <w:link w:val="584"/>
    <w:rPr>
      <w:rFonts w:ascii="Verdana" w:hAnsi="Verdana"/>
      <w:sz w:val="20"/>
      <w:lang w:val="en-US" w:eastAsia="en-US"/>
    </w:rPr>
  </w:style>
  <w:style w:type="paragraph" w:styleId="623">
    <w:name w:val="Стиль1"/>
    <w:basedOn w:val="584"/>
    <w:next w:val="623"/>
    <w:link w:val="624"/>
    <w:rPr>
      <w:color w:val="000000"/>
      <w:sz w:val="28"/>
      <w:szCs w:val="28"/>
    </w:rPr>
    <w:pPr>
      <w:ind w:firstLine="709"/>
      <w:jc w:val="both"/>
      <w:spacing w:lineRule="auto" w:line="360"/>
    </w:pPr>
  </w:style>
  <w:style w:type="character" w:styleId="624">
    <w:name w:val="Стиль1 Знак"/>
    <w:next w:val="624"/>
    <w:link w:val="623"/>
    <w:rPr>
      <w:color w:val="000000"/>
      <w:sz w:val="28"/>
      <w:szCs w:val="28"/>
      <w:lang w:val="ru-RU" w:bidi="ar-SA" w:eastAsia="ru-RU"/>
    </w:rPr>
  </w:style>
  <w:style w:type="paragraph" w:styleId="625">
    <w:name w:val=" Знак Знак Знак Знак Знак Знак Знак Знак Знак Знак Знак"/>
    <w:basedOn w:val="584"/>
    <w:next w:val="625"/>
    <w:link w:val="584"/>
    <w:rPr>
      <w:rFonts w:ascii="Verdana" w:hAnsi="Verdana"/>
      <w:sz w:val="20"/>
      <w:lang w:val="en-US" w:eastAsia="en-US"/>
    </w:rPr>
  </w:style>
  <w:style w:type="paragraph" w:styleId="626">
    <w:name w:val="Обычный + Черный"/>
    <w:basedOn w:val="584"/>
    <w:next w:val="626"/>
    <w:link w:val="627"/>
    <w:rPr>
      <w:color w:val="000000"/>
      <w:szCs w:val="24"/>
    </w:rPr>
    <w:pPr>
      <w:ind w:firstLine="709"/>
      <w:jc w:val="both"/>
    </w:pPr>
  </w:style>
  <w:style w:type="character" w:styleId="627">
    <w:name w:val="Обычный + Черный Знак"/>
    <w:next w:val="627"/>
    <w:link w:val="626"/>
    <w:rPr>
      <w:color w:val="000000"/>
      <w:sz w:val="24"/>
      <w:szCs w:val="24"/>
      <w:lang w:val="ru-RU" w:bidi="ar-SA" w:eastAsia="ru-RU"/>
    </w:rPr>
  </w:style>
  <w:style w:type="paragraph" w:styleId="628">
    <w:name w:val="стиль 20"/>
    <w:basedOn w:val="584"/>
    <w:next w:val="628"/>
    <w:link w:val="629"/>
    <w:rPr>
      <w:sz w:val="28"/>
      <w:lang w:val="en-US" w:eastAsia="en-US"/>
    </w:rPr>
    <w:pPr>
      <w:ind w:firstLine="720"/>
      <w:jc w:val="both"/>
      <w:spacing w:lineRule="auto" w:line="360"/>
      <w:widowControl w:val="off"/>
      <w:outlineLvl w:val="1"/>
    </w:pPr>
  </w:style>
  <w:style w:type="character" w:styleId="629">
    <w:name w:val="стиль 20 Знак"/>
    <w:next w:val="629"/>
    <w:link w:val="628"/>
    <w:rPr>
      <w:sz w:val="28"/>
    </w:rPr>
  </w:style>
  <w:style w:type="paragraph" w:styleId="630">
    <w:name w:val="Абзац списка"/>
    <w:basedOn w:val="584"/>
    <w:next w:val="630"/>
    <w:link w:val="584"/>
    <w:rPr>
      <w:szCs w:val="24"/>
    </w:rPr>
    <w:pPr>
      <w:contextualSpacing w:val="true"/>
      <w:ind w:left="720"/>
    </w:pPr>
  </w:style>
  <w:style w:type="character" w:styleId="631">
    <w:name w:val="Гиперссылка"/>
    <w:next w:val="631"/>
    <w:link w:val="584"/>
    <w:semiHidden/>
    <w:rPr>
      <w:color w:val="0000FF"/>
      <w:u w:val="single"/>
    </w:rPr>
  </w:style>
  <w:style w:type="paragraph" w:styleId="632">
    <w:name w:val="Текст выноски"/>
    <w:basedOn w:val="584"/>
    <w:next w:val="632"/>
    <w:link w:val="633"/>
    <w:semiHidden/>
    <w:rPr>
      <w:rFonts w:ascii="Tahoma" w:hAnsi="Tahoma"/>
      <w:sz w:val="16"/>
      <w:szCs w:val="16"/>
    </w:rPr>
  </w:style>
  <w:style w:type="character" w:styleId="633">
    <w:name w:val="Текст выноски Знак"/>
    <w:next w:val="633"/>
    <w:link w:val="632"/>
    <w:semiHidden/>
    <w:rPr>
      <w:rFonts w:ascii="Tahoma" w:hAnsi="Tahoma"/>
      <w:sz w:val="16"/>
      <w:szCs w:val="16"/>
    </w:rPr>
  </w:style>
  <w:style w:type="character" w:styleId="634" w:default="1">
    <w:name w:val="Default Paragraph Font"/>
    <w:uiPriority w:val="1"/>
    <w:semiHidden/>
    <w:unhideWhenUsed/>
  </w:style>
  <w:style w:type="numbering" w:styleId="635" w:default="1">
    <w:name w:val="No List"/>
    <w:uiPriority w:val="99"/>
    <w:semiHidden/>
    <w:unhideWhenUsed/>
  </w:style>
  <w:style w:type="paragraph" w:styleId="636" w:default="1">
    <w:name w:val="Normal"/>
    <w:qFormat/>
  </w:style>
  <w:style w:type="table" w:styleId="6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2021-11-26T09:53:48Z</dcterms:modified>
</cp:coreProperties>
</file>