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7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П</w:t>
      </w:r>
      <w:r>
        <w:rPr>
          <w:rFonts w:ascii="Times New Roman" w:hAnsi="Times New Roman"/>
          <w:b/>
          <w:szCs w:val="24"/>
          <w:lang w:val="ru-RU"/>
        </w:rPr>
        <w:t xml:space="preserve">ОЯСНИТЕЛЬНАЯ  ЗАПИСКА</w:t>
      </w:r>
      <w:r/>
    </w:p>
    <w:p>
      <w:pPr>
        <w:pStyle w:val="5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отчету об исполнении  бюджета </w:t>
      </w:r>
      <w:r>
        <w:rPr>
          <w:rFonts w:ascii="Times New Roman" w:hAnsi="Times New Roman"/>
          <w:szCs w:val="24"/>
        </w:rPr>
        <w:t xml:space="preserve">Элисенваарского  сельского поселения</w:t>
      </w:r>
      <w:r>
        <w:rPr>
          <w:rFonts w:ascii="Times New Roman" w:hAnsi="Times New Roman"/>
          <w:szCs w:val="24"/>
        </w:rPr>
        <w:t xml:space="preserve"> </w:t>
      </w:r>
      <w:r/>
    </w:p>
    <w:p>
      <w:pPr>
        <w:pStyle w:val="584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за </w:t>
      </w:r>
      <w:r>
        <w:rPr>
          <w:rFonts w:ascii="Times New Roman" w:hAnsi="Times New Roman"/>
          <w:szCs w:val="24"/>
          <w:u w:val="single"/>
        </w:rPr>
        <w:t xml:space="preserve">2022</w:t>
      </w:r>
      <w:r>
        <w:rPr>
          <w:rFonts w:ascii="Times New Roman" w:hAnsi="Times New Roman"/>
          <w:szCs w:val="24"/>
          <w:u w:val="single"/>
        </w:rPr>
        <w:t xml:space="preserve"> </w:t>
      </w:r>
      <w:r>
        <w:rPr>
          <w:rFonts w:ascii="Times New Roman" w:hAnsi="Times New Roman"/>
          <w:szCs w:val="24"/>
          <w:u w:val="single"/>
        </w:rPr>
        <w:t xml:space="preserve">год</w:t>
      </w:r>
      <w:r/>
    </w:p>
    <w:p>
      <w:pPr>
        <w:pStyle w:val="576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Исполнение бюджета </w:t>
      </w:r>
      <w:r>
        <w:rPr>
          <w:rFonts w:ascii="Times New Roman" w:hAnsi="Times New Roman"/>
          <w:szCs w:val="24"/>
        </w:rPr>
        <w:t xml:space="preserve">Элисенваарского сельского поселения</w:t>
      </w:r>
      <w:r>
        <w:rPr>
          <w:rFonts w:ascii="Times New Roman" w:hAnsi="Times New Roman"/>
          <w:szCs w:val="24"/>
        </w:rPr>
        <w:t xml:space="preserve"> в </w:t>
      </w:r>
      <w:r>
        <w:rPr>
          <w:rFonts w:ascii="Times New Roman" w:hAnsi="Times New Roman"/>
          <w:szCs w:val="24"/>
        </w:rPr>
        <w:t xml:space="preserve">2022</w:t>
      </w:r>
      <w:r>
        <w:rPr>
          <w:rFonts w:ascii="Times New Roman" w:hAnsi="Times New Roman"/>
          <w:szCs w:val="24"/>
        </w:rPr>
        <w:t xml:space="preserve"> году осуществлялось в соответствии с требованиями Бюджетного Кодекса Российской Федерации, </w:t>
      </w:r>
      <w:r>
        <w:rPr>
          <w:rFonts w:ascii="Times New Roman" w:hAnsi="Times New Roman"/>
          <w:szCs w:val="24"/>
        </w:rPr>
        <w:t xml:space="preserve">действующим федеральным законодательством, нормативными правовыми актами Республики Карелия и решениями  Совета </w:t>
      </w:r>
      <w:r>
        <w:rPr>
          <w:rFonts w:ascii="Times New Roman" w:hAnsi="Times New Roman"/>
          <w:szCs w:val="24"/>
        </w:rPr>
        <w:t xml:space="preserve">Элисенваарского сельского поселения.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/>
    </w:p>
    <w:p>
      <w:pPr>
        <w:pStyle w:val="584"/>
        <w:ind w:firstLine="720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 поселения 2022</w:t>
      </w:r>
      <w:r>
        <w:rPr>
          <w:rFonts w:ascii="Times New Roman" w:hAnsi="Times New Roman"/>
        </w:rPr>
        <w:t xml:space="preserve"> года сформирован и исполнен с</w:t>
      </w:r>
      <w:r>
        <w:rPr>
          <w:rFonts w:ascii="Times New Roman" w:hAnsi="Times New Roman"/>
        </w:rPr>
        <w:t xml:space="preserve"> учетом </w:t>
      </w:r>
      <w:r>
        <w:rPr>
          <w:rFonts w:ascii="Times New Roman" w:hAnsi="Times New Roman"/>
        </w:rPr>
        <w:t xml:space="preserve">действия норм, регулирующих бюджетное и налоговое законодательство, а так же с учетом правовых актов органов местного самоуправления Элисенваарского сельского поселения, принятых в области организации бюджетного процесса.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части формирования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подготовлены, внесены на рассмотрение в Совет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 утверждены следующие решения: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27/100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.12.2021</w:t>
      </w:r>
      <w:r>
        <w:rPr>
          <w:sz w:val="24"/>
          <w:szCs w:val="24"/>
        </w:rPr>
        <w:t xml:space="preserve"> г. «О бюджете Элисенваарского сельского поселения на 2022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28</w:t>
      </w:r>
      <w:r>
        <w:rPr>
          <w:sz w:val="24"/>
          <w:szCs w:val="24"/>
        </w:rPr>
        <w:t xml:space="preserve">/105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31</w:t>
      </w:r>
      <w:r>
        <w:rPr>
          <w:sz w:val="24"/>
          <w:szCs w:val="24"/>
        </w:rPr>
        <w:t xml:space="preserve">.01.2022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sz w:val="24"/>
        </w:rPr>
        <w:t xml:space="preserve">Х</w:t>
      </w:r>
      <w:r>
        <w:rPr>
          <w:sz w:val="24"/>
        </w:rPr>
        <w:t xml:space="preserve">Х</w:t>
      </w:r>
      <w:r>
        <w:rPr>
          <w:sz w:val="24"/>
          <w:szCs w:val="24"/>
          <w:lang w:val="en-US"/>
        </w:rPr>
        <w:t xml:space="preserve">V</w:t>
      </w:r>
      <w:r>
        <w:rPr>
          <w:sz w:val="24"/>
        </w:rPr>
        <w:t xml:space="preserve">I</w:t>
      </w:r>
      <w:r>
        <w:rPr>
          <w:sz w:val="24"/>
        </w:rPr>
        <w:t xml:space="preserve">I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I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.12.2021</w:t>
      </w:r>
      <w:r>
        <w:rPr>
          <w:sz w:val="24"/>
          <w:szCs w:val="24"/>
        </w:rPr>
        <w:t xml:space="preserve"> года № 27 /100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2022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30</w:t>
      </w:r>
      <w:r>
        <w:rPr>
          <w:sz w:val="24"/>
          <w:szCs w:val="24"/>
        </w:rPr>
        <w:t xml:space="preserve">/114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16</w:t>
      </w:r>
      <w:r>
        <w:rPr>
          <w:sz w:val="24"/>
          <w:szCs w:val="24"/>
        </w:rPr>
        <w:t xml:space="preserve">.06</w:t>
      </w:r>
      <w:r>
        <w:rPr>
          <w:sz w:val="24"/>
          <w:szCs w:val="24"/>
        </w:rPr>
        <w:t xml:space="preserve">.2022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sz w:val="24"/>
        </w:rPr>
        <w:t xml:space="preserve">Х</w:t>
      </w:r>
      <w:r>
        <w:rPr>
          <w:sz w:val="24"/>
        </w:rPr>
        <w:t xml:space="preserve">Х</w:t>
      </w:r>
      <w:r>
        <w:rPr>
          <w:sz w:val="24"/>
          <w:szCs w:val="24"/>
          <w:lang w:val="en-US"/>
        </w:rPr>
        <w:t xml:space="preserve">V</w:t>
      </w:r>
      <w:r>
        <w:rPr>
          <w:sz w:val="24"/>
        </w:rPr>
        <w:t xml:space="preserve">I</w:t>
      </w:r>
      <w:r>
        <w:rPr>
          <w:sz w:val="24"/>
        </w:rPr>
        <w:t xml:space="preserve">I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I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.12.2021</w:t>
      </w:r>
      <w:r>
        <w:rPr>
          <w:sz w:val="24"/>
          <w:szCs w:val="24"/>
        </w:rPr>
        <w:t xml:space="preserve"> года № 27 </w:t>
      </w:r>
      <w:r>
        <w:rPr>
          <w:sz w:val="24"/>
          <w:szCs w:val="24"/>
        </w:rPr>
        <w:t xml:space="preserve">/100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2022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№ 2</w:t>
      </w:r>
      <w:r>
        <w:rPr>
          <w:sz w:val="24"/>
          <w:szCs w:val="24"/>
        </w:rPr>
        <w:t xml:space="preserve">/9</w:t>
      </w:r>
      <w:r>
        <w:rPr>
          <w:sz w:val="24"/>
          <w:szCs w:val="24"/>
        </w:rPr>
        <w:t xml:space="preserve">-5 от 21</w:t>
      </w:r>
      <w:r>
        <w:rPr>
          <w:sz w:val="24"/>
          <w:szCs w:val="24"/>
        </w:rPr>
        <w:t xml:space="preserve">.10</w:t>
      </w:r>
      <w:r>
        <w:rPr>
          <w:sz w:val="24"/>
          <w:szCs w:val="24"/>
        </w:rPr>
        <w:t xml:space="preserve">.2022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sz w:val="24"/>
        </w:rPr>
        <w:t xml:space="preserve">Х</w:t>
      </w:r>
      <w:r>
        <w:rPr>
          <w:sz w:val="24"/>
        </w:rPr>
        <w:t xml:space="preserve">Х</w:t>
      </w:r>
      <w:r>
        <w:rPr>
          <w:sz w:val="24"/>
          <w:szCs w:val="24"/>
          <w:lang w:val="en-US"/>
        </w:rPr>
        <w:t xml:space="preserve">V</w:t>
      </w:r>
      <w:r>
        <w:rPr>
          <w:sz w:val="24"/>
        </w:rPr>
        <w:t xml:space="preserve">I</w:t>
      </w:r>
      <w:r>
        <w:rPr>
          <w:sz w:val="24"/>
        </w:rPr>
        <w:t xml:space="preserve">I</w:t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I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.12.2021</w:t>
      </w:r>
      <w:r>
        <w:rPr>
          <w:sz w:val="24"/>
          <w:szCs w:val="24"/>
        </w:rPr>
        <w:t xml:space="preserve"> года № 27/100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2022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/13</w:t>
      </w:r>
      <w:r>
        <w:rPr>
          <w:sz w:val="24"/>
          <w:szCs w:val="24"/>
        </w:rPr>
        <w:t xml:space="preserve">-5 от 26</w:t>
      </w:r>
      <w:r>
        <w:rPr>
          <w:sz w:val="24"/>
          <w:szCs w:val="24"/>
        </w:rPr>
        <w:t xml:space="preserve">.12.2022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sz w:val="24"/>
        </w:rPr>
        <w:t xml:space="preserve">Х</w:t>
      </w:r>
      <w:r>
        <w:rPr>
          <w:sz w:val="24"/>
        </w:rPr>
        <w:t xml:space="preserve">Х</w:t>
      </w:r>
      <w:r>
        <w:rPr>
          <w:sz w:val="24"/>
          <w:szCs w:val="24"/>
          <w:lang w:val="en-US"/>
        </w:rPr>
        <w:t xml:space="preserve">V</w:t>
      </w:r>
      <w:r>
        <w:rPr>
          <w:sz w:val="24"/>
        </w:rPr>
        <w:t xml:space="preserve">I</w:t>
      </w:r>
      <w:r>
        <w:rPr>
          <w:sz w:val="24"/>
        </w:rPr>
        <w:t xml:space="preserve">I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сессии </w:t>
      </w:r>
      <w:r>
        <w:rPr>
          <w:sz w:val="24"/>
          <w:szCs w:val="24"/>
          <w:lang w:val="en-US"/>
        </w:rPr>
        <w:t xml:space="preserve">I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.12.2021</w:t>
      </w:r>
      <w:r>
        <w:rPr>
          <w:sz w:val="24"/>
          <w:szCs w:val="24"/>
        </w:rPr>
        <w:t xml:space="preserve"> года № 27/100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«О бюджете Элисенваарского сельского поселения на 2022</w:t>
      </w:r>
      <w:r>
        <w:rPr>
          <w:sz w:val="24"/>
          <w:szCs w:val="24"/>
        </w:rPr>
        <w:t xml:space="preserve"> год».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Учитывая задачи в области исполнения бюджета, </w:t>
      </w:r>
      <w:r>
        <w:rPr>
          <w:sz w:val="24"/>
          <w:szCs w:val="24"/>
        </w:rPr>
        <w:t xml:space="preserve">основными направлениями бюджетной политики Администрации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ходе исполнения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году явились: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обеспечение исполнения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действующего </w:t>
      </w:r>
      <w:r>
        <w:rPr>
          <w:sz w:val="24"/>
          <w:szCs w:val="24"/>
        </w:rPr>
        <w:t xml:space="preserve">в отчетном финансовом году </w:t>
      </w:r>
      <w:r>
        <w:rPr>
          <w:sz w:val="24"/>
          <w:szCs w:val="24"/>
        </w:rPr>
        <w:t xml:space="preserve">бюджетного и налогового законодательства;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контроль за соблюдением решения </w:t>
      </w:r>
      <w:r>
        <w:rPr>
          <w:sz w:val="24"/>
          <w:szCs w:val="24"/>
        </w:rPr>
        <w:t xml:space="preserve">Совета Элисенваарского сельского поселения </w:t>
      </w:r>
      <w:r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изыскание возможности получения бюджетом дополнительных доходов;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оптимальное р</w:t>
      </w:r>
      <w:r>
        <w:rPr>
          <w:sz w:val="24"/>
          <w:szCs w:val="24"/>
        </w:rPr>
        <w:t xml:space="preserve">аспределение бюджетных расходов.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итоге</w:t>
      </w:r>
      <w:r>
        <w:rPr>
          <w:sz w:val="24"/>
          <w:szCs w:val="24"/>
        </w:rPr>
        <w:t xml:space="preserve"> проводимой в перечисленных направлениях работы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сполнение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 характеризуется следующими данными:</w:t>
      </w:r>
      <w:r>
        <w:rPr>
          <w:sz w:val="24"/>
          <w:szCs w:val="24"/>
        </w:rPr>
      </w:r>
      <w:r/>
    </w:p>
    <w:p>
      <w:pPr>
        <w:pStyle w:val="576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numPr>
          <w:ilvl w:val="0"/>
          <w:numId w:val="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ОСНОВНЫЕ ХАРАКТЕРИСТИКИ</w:t>
      </w:r>
      <w:r/>
    </w:p>
    <w:p>
      <w:pPr>
        <w:pStyle w:val="576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Основные характеристики бюджета Элисенваарского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исполнению за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 составляют:</w:t>
      </w:r>
      <w:r>
        <w:rPr>
          <w:sz w:val="24"/>
          <w:szCs w:val="24"/>
        </w:rPr>
      </w:r>
      <w:r/>
    </w:p>
    <w:p>
      <w:pPr>
        <w:pStyle w:val="576"/>
        <w:ind w:firstLine="567"/>
        <w:jc w:val="right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</w:r>
      <w:r>
        <w:rPr>
          <w:sz w:val="24"/>
          <w:szCs w:val="24"/>
        </w:rPr>
        <w:t xml:space="preserve">(т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уб</w:t>
      </w:r>
      <w:r>
        <w:rPr>
          <w:sz w:val="24"/>
          <w:szCs w:val="24"/>
        </w:rPr>
        <w:t xml:space="preserve">.)</w:t>
      </w:r>
      <w:r/>
    </w:p>
    <w:tbl>
      <w:tblPr>
        <w:tblW w:w="0" w:type="auto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535"/>
        <w:gridCol w:w="1474"/>
        <w:gridCol w:w="1495"/>
        <w:gridCol w:w="1252"/>
        <w:gridCol w:w="1353"/>
        <w:gridCol w:w="1353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Утверждено решением о бюджете на </w:t>
            </w:r>
            <w:r>
              <w:rPr>
                <w:b/>
              </w:rPr>
              <w:t xml:space="preserve">2022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Уточненный план на </w:t>
            </w:r>
            <w:r>
              <w:rPr>
                <w:b/>
              </w:rPr>
              <w:t xml:space="preserve">2022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Исполнено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Отклонение от уточненного плана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% исполнения уточненного плана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180</w:t>
            </w:r>
            <w:r>
              <w:rPr>
                <w:sz w:val="24"/>
                <w:szCs w:val="24"/>
              </w:rPr>
              <w:t xml:space="preserve">,84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7</w:t>
            </w:r>
            <w:r>
              <w:rPr>
                <w:sz w:val="24"/>
                <w:szCs w:val="24"/>
              </w:rPr>
              <w:t xml:space="preserve"> 462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24</w:t>
            </w:r>
            <w:r>
              <w:rPr>
                <w:sz w:val="24"/>
                <w:szCs w:val="24"/>
                <w:highlight w:val="yellow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660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29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198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05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102</w:t>
            </w:r>
            <w:r>
              <w:rPr>
                <w:sz w:val="24"/>
                <w:szCs w:val="24"/>
              </w:rPr>
              <w:t xml:space="preserve">,65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562</w:t>
            </w:r>
            <w:r>
              <w:rPr>
                <w:sz w:val="24"/>
                <w:szCs w:val="24"/>
              </w:rPr>
              <w:t xml:space="preserve">,50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-7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639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15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- 7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535</w:t>
            </w:r>
            <w:r>
              <w:rPr>
                <w:sz w:val="24"/>
                <w:szCs w:val="24"/>
              </w:rPr>
              <w:t xml:space="preserve">,60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ru-RU"/>
              </w:rPr>
              <w:t xml:space="preserve">103</w:t>
            </w:r>
            <w:r>
              <w:rPr>
                <w:sz w:val="24"/>
                <w:szCs w:val="24"/>
              </w:rPr>
              <w:t xml:space="preserve">,55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98,</w:t>
            </w:r>
            <w:r>
              <w:rPr>
                <w:sz w:val="24"/>
                <w:szCs w:val="24"/>
              </w:rPr>
              <w:t xml:space="preserve">64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>
          <w:trHeight w:val="57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Дефицит (-),</w:t>
            </w:r>
            <w:r>
              <w:rPr>
                <w:sz w:val="24"/>
                <w:szCs w:val="24"/>
              </w:rPr>
              <w:t xml:space="preserve"> профицит (+)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-381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66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-176</w:t>
            </w:r>
            <w:r>
              <w:rPr>
                <w:sz w:val="24"/>
                <w:szCs w:val="24"/>
              </w:rPr>
              <w:t xml:space="preserve">,91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224</w:t>
            </w:r>
            <w:r>
              <w:rPr>
                <w:sz w:val="24"/>
                <w:szCs w:val="24"/>
              </w:rPr>
              <w:t xml:space="preserve">,69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</w:tr>
    </w:tbl>
    <w:p>
      <w:pPr>
        <w:pStyle w:val="58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5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ДОХОДЫ</w:t>
      </w:r>
      <w:r/>
    </w:p>
    <w:p>
      <w:pPr>
        <w:pStyle w:val="5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доходной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части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сельского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660</w:t>
      </w:r>
      <w:r>
        <w:rPr>
          <w:sz w:val="24"/>
          <w:szCs w:val="24"/>
        </w:rPr>
        <w:t xml:space="preserve">,29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102</w:t>
      </w:r>
      <w:r>
        <w:rPr>
          <w:sz w:val="24"/>
          <w:szCs w:val="24"/>
        </w:rPr>
        <w:t xml:space="preserve">,65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уточнённым </w:t>
      </w:r>
      <w:r>
        <w:rPr>
          <w:sz w:val="24"/>
          <w:szCs w:val="24"/>
        </w:rPr>
        <w:t xml:space="preserve">прогнозным</w:t>
      </w:r>
      <w:r>
        <w:rPr>
          <w:sz w:val="24"/>
          <w:szCs w:val="24"/>
        </w:rPr>
        <w:t xml:space="preserve"> назначениям (</w:t>
      </w:r>
      <w:r>
        <w:rPr>
          <w:sz w:val="24"/>
          <w:szCs w:val="24"/>
        </w:rPr>
        <w:t xml:space="preserve">приложение 1 к пояснительной записке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Исполнение</w:t>
      </w:r>
      <w:r>
        <w:rPr>
          <w:sz w:val="24"/>
          <w:szCs w:val="24"/>
        </w:rPr>
        <w:t xml:space="preserve"> собственных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обеспечено</w:t>
      </w:r>
      <w:r>
        <w:rPr>
          <w:sz w:val="24"/>
          <w:szCs w:val="24"/>
        </w:rPr>
        <w:t xml:space="preserve"> на 4</w:t>
      </w:r>
      <w:r>
        <w:rPr>
          <w:sz w:val="24"/>
          <w:szCs w:val="24"/>
        </w:rPr>
        <w:t xml:space="preserve"> 345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 (104</w:t>
      </w:r>
      <w:r>
        <w:rPr>
          <w:sz w:val="24"/>
          <w:szCs w:val="24"/>
        </w:rPr>
        <w:t xml:space="preserve">,78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уточнённому плану</w:t>
      </w:r>
      <w:r>
        <w:rPr>
          <w:sz w:val="24"/>
          <w:szCs w:val="24"/>
        </w:rPr>
        <w:t xml:space="preserve">), в том числе по налоговым доходам на 3</w:t>
      </w:r>
      <w:r>
        <w:rPr>
          <w:sz w:val="24"/>
          <w:szCs w:val="24"/>
        </w:rPr>
        <w:t xml:space="preserve"> 325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106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80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), по неналоговым доходам на 1 020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98</w:t>
      </w:r>
      <w:r>
        <w:rPr>
          <w:sz w:val="24"/>
          <w:szCs w:val="24"/>
        </w:rPr>
        <w:t xml:space="preserve">,60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году наблюдается </w:t>
      </w:r>
      <w:r>
        <w:rPr>
          <w:sz w:val="24"/>
          <w:szCs w:val="24"/>
        </w:rPr>
        <w:t xml:space="preserve">невыполнение (перевыполнение)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прогнозных</w:t>
      </w:r>
      <w:r>
        <w:rPr>
          <w:sz w:val="24"/>
          <w:szCs w:val="24"/>
        </w:rPr>
        <w:t xml:space="preserve"> назначений </w:t>
      </w:r>
      <w:r>
        <w:rPr>
          <w:sz w:val="24"/>
          <w:szCs w:val="24"/>
        </w:rPr>
        <w:t xml:space="preserve">по следующим </w:t>
      </w:r>
      <w:r>
        <w:rPr>
          <w:sz w:val="24"/>
          <w:szCs w:val="24"/>
        </w:rPr>
        <w:t xml:space="preserve">налоговым и неналоговым доходам</w:t>
      </w:r>
      <w:r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– 77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34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618,0 </w:t>
      </w:r>
      <w:r>
        <w:rPr>
          <w:sz w:val="24"/>
          <w:szCs w:val="24"/>
        </w:rPr>
        <w:t xml:space="preserve">тыс. рублей исполнено 477</w:t>
      </w:r>
      <w:r>
        <w:rPr>
          <w:sz w:val="24"/>
          <w:szCs w:val="24"/>
        </w:rPr>
        <w:t xml:space="preserve">,97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имущество – 100</w:t>
      </w:r>
      <w:r>
        <w:rPr>
          <w:sz w:val="24"/>
          <w:szCs w:val="24"/>
        </w:rPr>
        <w:t xml:space="preserve">,27 процента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84,54</w:t>
      </w:r>
      <w:r>
        <w:rPr>
          <w:sz w:val="24"/>
          <w:szCs w:val="24"/>
        </w:rPr>
        <w:t xml:space="preserve"> тыс. рублей исполнено 84</w:t>
      </w:r>
      <w:r>
        <w:rPr>
          <w:sz w:val="24"/>
          <w:szCs w:val="24"/>
        </w:rPr>
        <w:t xml:space="preserve">,77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земельный налог  - 117</w:t>
      </w:r>
      <w:r>
        <w:rPr>
          <w:sz w:val="24"/>
          <w:szCs w:val="24"/>
        </w:rPr>
        <w:t xml:space="preserve">,21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1 708,39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2 002,45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оходы от </w:t>
      </w:r>
      <w:r>
        <w:rPr>
          <w:sz w:val="24"/>
          <w:szCs w:val="24"/>
        </w:rPr>
        <w:t xml:space="preserve">использования муниципального имущества</w:t>
      </w:r>
      <w:r>
        <w:rPr>
          <w:sz w:val="24"/>
          <w:szCs w:val="24"/>
        </w:rPr>
        <w:t xml:space="preserve"> – 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35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78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исполнено </w:t>
      </w:r>
      <w:r>
        <w:rPr>
          <w:sz w:val="24"/>
          <w:szCs w:val="24"/>
        </w:rPr>
        <w:t xml:space="preserve">35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78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-акцизы по подакцизным товарам - 108,42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701</w:t>
      </w:r>
      <w:r>
        <w:rPr>
          <w:sz w:val="24"/>
          <w:szCs w:val="24"/>
        </w:rPr>
        <w:t xml:space="preserve">,46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760</w:t>
      </w:r>
      <w:r>
        <w:rPr>
          <w:sz w:val="24"/>
          <w:szCs w:val="24"/>
        </w:rPr>
        <w:t xml:space="preserve">,49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доходы от оказания платных услуг и компенсации затрат государства – 63,02 процента (при плане 41 тыс. рублей исполнено 25,84 тыс. рублей);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доходы от продажи материальных и нематериальных активов</w:t>
      </w:r>
      <w:r>
        <w:rPr>
          <w:sz w:val="24"/>
          <w:szCs w:val="24"/>
        </w:rPr>
        <w:t xml:space="preserve"> – 100 процентов (при плане 957,75 тыс. рублей исполнено 957,75 тыс. рублей).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Объём </w:t>
      </w:r>
      <w:r>
        <w:rPr>
          <w:sz w:val="24"/>
          <w:szCs w:val="24"/>
        </w:rPr>
        <w:t xml:space="preserve">безвозмездных поступлений </w:t>
      </w:r>
      <w:r>
        <w:rPr>
          <w:sz w:val="24"/>
          <w:szCs w:val="24"/>
        </w:rPr>
        <w:t xml:space="preserve">из бюджета </w:t>
      </w:r>
      <w:r>
        <w:rPr>
          <w:sz w:val="24"/>
          <w:szCs w:val="24"/>
        </w:rPr>
        <w:t xml:space="preserve">Лахденпохского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бюджету Элисенваарского сельского поселения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году составил </w:t>
      </w:r>
      <w:r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 305,32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3 305,32</w:t>
      </w:r>
      <w:r>
        <w:rPr>
          <w:sz w:val="24"/>
          <w:szCs w:val="24"/>
        </w:rPr>
        <w:t xml:space="preserve"> тыс. рублей)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плановым назначениям</w:t>
      </w:r>
      <w:r>
        <w:rPr>
          <w:sz w:val="24"/>
          <w:szCs w:val="24"/>
        </w:rPr>
        <w:t xml:space="preserve">, в том числе размер дотации</w:t>
      </w:r>
      <w:r>
        <w:rPr>
          <w:sz w:val="24"/>
          <w:szCs w:val="24"/>
        </w:rPr>
        <w:t xml:space="preserve"> на выравнивание бюджетной обеспеченности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году – 1 665,70</w:t>
      </w:r>
      <w:r>
        <w:rPr>
          <w:sz w:val="24"/>
          <w:szCs w:val="24"/>
        </w:rPr>
        <w:t xml:space="preserve"> тыс. рублей или 100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утвержденных показателей</w:t>
      </w:r>
      <w:r>
        <w:rPr>
          <w:sz w:val="24"/>
          <w:szCs w:val="24"/>
        </w:rPr>
        <w:t xml:space="preserve"> (приложение 3 к пояснительной записке)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Возврат остатков субсидий, субвенций и иных межбюджетных трансфертов, имеющих целевое назначение, прошлых лет </w:t>
      </w:r>
      <w:r>
        <w:rPr>
          <w:sz w:val="24"/>
          <w:szCs w:val="24"/>
        </w:rPr>
        <w:t xml:space="preserve">отсутствует.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 xml:space="preserve">Администрирование доходов в 2022</w:t>
      </w:r>
      <w:r>
        <w:rPr>
          <w:sz w:val="24"/>
          <w:szCs w:val="24"/>
        </w:rPr>
        <w:t xml:space="preserve"> году осуществлялось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главными администраторами доходов. Выполнение прогнозных показателей главными администраторами доходов бюджета Элисенваарского сельского поселения в разрезе видов (подвидов) доходов бюджета представлено в приложении 2 к пояснительной записке.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сполнение  плановых назначений</w:t>
      </w:r>
      <w:r>
        <w:rPr>
          <w:sz w:val="24"/>
          <w:szCs w:val="24"/>
        </w:rPr>
        <w:t xml:space="preserve">: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Администрация Элисенваарского сельского поселения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99</w:t>
      </w:r>
      <w:r>
        <w:rPr>
          <w:sz w:val="24"/>
          <w:szCs w:val="24"/>
        </w:rPr>
        <w:t xml:space="preserve">,65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Управление  Федерального казначейства – 108,42</w:t>
      </w:r>
      <w:r>
        <w:rPr>
          <w:sz w:val="24"/>
          <w:szCs w:val="24"/>
        </w:rPr>
        <w:t xml:space="preserve"> процента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Управления Федеральной налоговой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106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 процента.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Объем собственных доходов поселения в структуре доходов бюджета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года составил </w:t>
      </w:r>
      <w:r>
        <w:rPr>
          <w:sz w:val="24"/>
          <w:szCs w:val="24"/>
        </w:rPr>
        <w:t xml:space="preserve">56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процен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. Объем финансовой помощи в структуре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составил </w:t>
      </w:r>
      <w:r>
        <w:rPr>
          <w:sz w:val="24"/>
          <w:szCs w:val="24"/>
        </w:rPr>
        <w:t xml:space="preserve">43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Наибольший удельный вес в структуре </w:t>
      </w:r>
      <w:r>
        <w:rPr>
          <w:sz w:val="24"/>
          <w:szCs w:val="24"/>
        </w:rPr>
        <w:t xml:space="preserve">всех доходов бюджета Элисенваарского</w:t>
      </w:r>
      <w:r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занимают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безвозмездные поступления</w:t>
      </w:r>
      <w:r>
        <w:rPr>
          <w:sz w:val="24"/>
          <w:szCs w:val="24"/>
        </w:rPr>
        <w:t xml:space="preserve">, земельный налог,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 на доходы физических лиц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доходы от продажи материальных и нематериальных активов и</w:t>
      </w:r>
      <w:r>
        <w:rPr>
          <w:sz w:val="24"/>
          <w:szCs w:val="24"/>
        </w:rPr>
        <w:t xml:space="preserve"> д</w:t>
      </w:r>
      <w:r>
        <w:rPr>
          <w:sz w:val="24"/>
          <w:szCs w:val="24"/>
        </w:rPr>
        <w:t xml:space="preserve">оходы от </w:t>
      </w:r>
      <w:r>
        <w:rPr>
          <w:sz w:val="24"/>
          <w:szCs w:val="24"/>
        </w:rPr>
        <w:t xml:space="preserve">использования муниципального имущества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color w:val="FFFFFF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сравнении с 2021</w:t>
      </w:r>
      <w:r>
        <w:rPr>
          <w:sz w:val="24"/>
          <w:szCs w:val="24"/>
        </w:rPr>
        <w:t xml:space="preserve"> годом наблюдается положительная</w:t>
      </w:r>
      <w:r>
        <w:rPr>
          <w:sz w:val="24"/>
          <w:szCs w:val="24"/>
        </w:rPr>
        <w:t xml:space="preserve"> динамика в поступлении доходов в бюджет поселения - </w:t>
      </w:r>
      <w:r>
        <w:rPr>
          <w:sz w:val="24"/>
          <w:szCs w:val="24"/>
        </w:rPr>
        <w:t xml:space="preserve">собственные доходы увеличились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2 075</w:t>
      </w:r>
      <w:r>
        <w:rPr>
          <w:color w:val="000000"/>
          <w:sz w:val="24"/>
          <w:szCs w:val="24"/>
        </w:rPr>
        <w:t xml:space="preserve"> тыс. руб.</w:t>
      </w:r>
      <w:r>
        <w:rPr>
          <w:color w:val="000000"/>
          <w:sz w:val="24"/>
          <w:szCs w:val="24"/>
        </w:rPr>
        <w:t xml:space="preserve"> или </w:t>
      </w:r>
      <w:r>
        <w:rPr>
          <w:color w:val="000000"/>
          <w:sz w:val="24"/>
          <w:szCs w:val="24"/>
        </w:rPr>
        <w:t xml:space="preserve">91</w:t>
      </w:r>
      <w:r>
        <w:rPr>
          <w:color w:val="000000"/>
          <w:sz w:val="24"/>
          <w:szCs w:val="24"/>
        </w:rPr>
        <w:t xml:space="preserve"> процент</w:t>
      </w:r>
      <w:r>
        <w:rPr>
          <w:color w:val="000000"/>
          <w:sz w:val="24"/>
          <w:szCs w:val="24"/>
        </w:rPr>
        <w:t xml:space="preserve"> (приложение 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 к пояснительной записке).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группе налоговых доходов увеличение</w:t>
      </w:r>
      <w:r>
        <w:rPr>
          <w:sz w:val="24"/>
          <w:szCs w:val="24"/>
        </w:rPr>
        <w:t xml:space="preserve"> платежей к уровню 2021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80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или 1 481</w:t>
      </w:r>
      <w:r>
        <w:rPr>
          <w:sz w:val="24"/>
          <w:szCs w:val="24"/>
        </w:rPr>
        <w:t xml:space="preserve"> тыс. рублей, в том числе: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увеличился на 0,6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или 3</w:t>
      </w:r>
      <w:r>
        <w:rPr>
          <w:sz w:val="24"/>
          <w:szCs w:val="24"/>
        </w:rPr>
        <w:t xml:space="preserve"> тыс. рублей. 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уплаты акцизов на нефтепродукты увеличи</w:t>
      </w:r>
      <w:r>
        <w:rPr>
          <w:sz w:val="24"/>
          <w:szCs w:val="24"/>
        </w:rPr>
        <w:t xml:space="preserve">лс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22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 или </w:t>
      </w:r>
      <w:r>
        <w:rPr>
          <w:sz w:val="24"/>
          <w:szCs w:val="24"/>
        </w:rPr>
        <w:t xml:space="preserve">137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налогу на имущество физических лиц наблюдается увеличение на 63</w:t>
      </w:r>
      <w:r>
        <w:rPr>
          <w:sz w:val="24"/>
          <w:szCs w:val="24"/>
        </w:rPr>
        <w:t xml:space="preserve"> процента или </w:t>
      </w:r>
      <w:r>
        <w:rPr>
          <w:sz w:val="24"/>
          <w:szCs w:val="24"/>
        </w:rPr>
        <w:t xml:space="preserve">33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земельному налогу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увеличение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188</w:t>
      </w:r>
      <w:r>
        <w:rPr>
          <w:sz w:val="24"/>
          <w:szCs w:val="24"/>
        </w:rPr>
        <w:t xml:space="preserve"> процентов или 1 308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</w:pPr>
      <w:r>
        <w:rPr>
          <w:sz w:val="24"/>
          <w:szCs w:val="24"/>
        </w:rPr>
        <w:t xml:space="preserve">По группе неналоговых доходов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 сравнению с 2021</w:t>
      </w:r>
      <w:r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увеличение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594</w:t>
      </w:r>
      <w:r>
        <w:rPr>
          <w:sz w:val="24"/>
          <w:szCs w:val="24"/>
        </w:rPr>
        <w:t xml:space="preserve"> тыс. рублей или на 139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, в том числе: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использования муниципального имущества, находящегося в государственной и муниципальной собственности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составляет</w:t>
      </w:r>
      <w:r>
        <w:rPr>
          <w:sz w:val="24"/>
          <w:szCs w:val="24"/>
        </w:rPr>
        <w:t xml:space="preserve"> 35 процентов</w:t>
      </w:r>
      <w:r>
        <w:rPr>
          <w:sz w:val="24"/>
          <w:szCs w:val="24"/>
        </w:rPr>
        <w:t xml:space="preserve">  или </w:t>
      </w: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оказания платных услуг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увеличение  составляет 160 процентов 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16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 - по </w:t>
      </w:r>
      <w:r>
        <w:rPr>
          <w:sz w:val="24"/>
          <w:szCs w:val="24"/>
        </w:rPr>
        <w:t xml:space="preserve">доходам от продажи материальных и нематериальных активов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увеличение </w:t>
      </w:r>
      <w:r>
        <w:rPr>
          <w:sz w:val="24"/>
          <w:szCs w:val="24"/>
        </w:rPr>
        <w:t xml:space="preserve">составляет 165 процентов или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597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  <w:t xml:space="preserve">Объем безвозмездных поступлений по отношению к 2021</w:t>
      </w:r>
      <w:r>
        <w:rPr>
          <w:sz w:val="24"/>
          <w:szCs w:val="24"/>
        </w:rPr>
        <w:t xml:space="preserve"> году в целом</w:t>
      </w:r>
      <w:r>
        <w:rPr>
          <w:sz w:val="24"/>
          <w:szCs w:val="24"/>
        </w:rPr>
        <w:t xml:space="preserve"> увеличился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1 176 </w:t>
      </w:r>
      <w:r>
        <w:rPr>
          <w:sz w:val="24"/>
          <w:szCs w:val="24"/>
        </w:rPr>
        <w:t xml:space="preserve">тыс. рублей или 55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 за счет </w:t>
      </w:r>
      <w:r>
        <w:rPr>
          <w:sz w:val="24"/>
          <w:szCs w:val="24"/>
        </w:rPr>
        <w:t xml:space="preserve">увеличения</w:t>
      </w:r>
      <w:r>
        <w:rPr>
          <w:sz w:val="24"/>
          <w:szCs w:val="24"/>
        </w:rPr>
        <w:t xml:space="preserve"> объема дотации на выравнивани</w:t>
      </w:r>
      <w:r>
        <w:rPr>
          <w:sz w:val="24"/>
          <w:szCs w:val="24"/>
        </w:rPr>
        <w:t xml:space="preserve">е бюджетной обеспеченности на 77</w:t>
      </w:r>
      <w:r>
        <w:rPr>
          <w:sz w:val="24"/>
          <w:szCs w:val="24"/>
        </w:rPr>
        <w:t xml:space="preserve"> тыс. рублей (5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иных межбюджетных трансфертов на 1 108</w:t>
      </w:r>
      <w:r>
        <w:rPr>
          <w:sz w:val="24"/>
          <w:szCs w:val="24"/>
        </w:rPr>
        <w:t xml:space="preserve"> тыс. рублей (710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), уменьшение субсидии бюджетам бюджетной системы (межбюджетные субсидии) на 5 </w:t>
      </w:r>
      <w:r>
        <w:rPr>
          <w:sz w:val="24"/>
          <w:szCs w:val="24"/>
        </w:rPr>
        <w:t xml:space="preserve">тыс. рублей </w:t>
      </w:r>
      <w:r>
        <w:rPr>
          <w:sz w:val="24"/>
          <w:szCs w:val="24"/>
        </w:rPr>
        <w:t xml:space="preserve">(2 процента)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уменьшение</w:t>
      </w:r>
      <w:r>
        <w:rPr>
          <w:sz w:val="24"/>
          <w:szCs w:val="24"/>
        </w:rPr>
        <w:t xml:space="preserve"> прочих безвозмездных поступлений в бюджет поселения на 20</w:t>
      </w:r>
      <w:r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 xml:space="preserve">(67 процентов)</w:t>
      </w:r>
      <w:r>
        <w:rPr>
          <w:sz w:val="24"/>
          <w:szCs w:val="24"/>
        </w:rPr>
        <w:t xml:space="preserve">. Объем субвенций </w:t>
      </w:r>
      <w:r>
        <w:rPr>
          <w:sz w:val="24"/>
          <w:szCs w:val="24"/>
        </w:rPr>
        <w:t xml:space="preserve">увеличился</w:t>
      </w:r>
      <w:r>
        <w:rPr>
          <w:sz w:val="24"/>
          <w:szCs w:val="24"/>
        </w:rPr>
        <w:t xml:space="preserve">  на 16</w:t>
      </w:r>
      <w:r>
        <w:rPr>
          <w:sz w:val="24"/>
          <w:szCs w:val="24"/>
        </w:rPr>
        <w:t xml:space="preserve"> тыс. рублей (11 процентов).</w:t>
      </w:r>
      <w:r>
        <w:rPr>
          <w:sz w:val="24"/>
          <w:szCs w:val="24"/>
        </w:rPr>
        <w:t xml:space="preserve"> </w:t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РАСХОДЫ.</w:t>
      </w:r>
      <w:r/>
    </w:p>
    <w:p>
      <w:pPr>
        <w:pStyle w:val="576"/>
        <w:jc w:val="center"/>
        <w:spacing w:lineRule="auto" w:line="27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Расходная часть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исполнена на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7535</w:t>
      </w:r>
      <w:r>
        <w:rPr>
          <w:sz w:val="24"/>
          <w:szCs w:val="24"/>
        </w:rPr>
        <w:t xml:space="preserve">,60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98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64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уточнённым пл</w:t>
      </w:r>
      <w:r>
        <w:rPr>
          <w:sz w:val="24"/>
          <w:szCs w:val="24"/>
        </w:rPr>
        <w:t xml:space="preserve">ановым назначениям (Приложение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пояснительной записке</w:t>
      </w:r>
      <w:r>
        <w:rPr>
          <w:sz w:val="24"/>
          <w:szCs w:val="24"/>
        </w:rPr>
        <w:t xml:space="preserve">).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Необходимо отметить, что расходные обязательства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 всем социально значимым направлениям расходов в</w:t>
      </w:r>
      <w:r>
        <w:rPr>
          <w:sz w:val="24"/>
          <w:szCs w:val="24"/>
        </w:rPr>
        <w:t xml:space="preserve"> ходе исполнения бюджета за 2022</w:t>
      </w:r>
      <w:r>
        <w:rPr>
          <w:sz w:val="24"/>
          <w:szCs w:val="24"/>
        </w:rPr>
        <w:t xml:space="preserve"> год профинансированы в полном объеме: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обеспечена выплата заработной платы с учетом 100 процентов аванса в декабре за декабрь;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произведена оплата предоставленных счетов за потребленные коммунальные услуги и электроэнергию.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сравнении с 2021</w:t>
      </w:r>
      <w:r>
        <w:rPr>
          <w:sz w:val="24"/>
          <w:szCs w:val="24"/>
        </w:rPr>
        <w:t xml:space="preserve"> годом на 2022</w:t>
      </w:r>
      <w:r>
        <w:rPr>
          <w:sz w:val="24"/>
          <w:szCs w:val="24"/>
        </w:rPr>
        <w:t xml:space="preserve"> год исполнение бюджета характеризуется </w:t>
      </w:r>
      <w:r>
        <w:rPr>
          <w:sz w:val="24"/>
          <w:szCs w:val="24"/>
        </w:rPr>
        <w:t xml:space="preserve">увеличением</w:t>
      </w:r>
      <w:r>
        <w:rPr>
          <w:sz w:val="24"/>
          <w:szCs w:val="24"/>
        </w:rPr>
        <w:t xml:space="preserve"> расходов на общую сумму 2</w:t>
      </w:r>
      <w:r>
        <w:rPr>
          <w:sz w:val="24"/>
          <w:szCs w:val="24"/>
        </w:rPr>
        <w:t xml:space="preserve"> 201</w:t>
      </w:r>
      <w:r>
        <w:rPr>
          <w:sz w:val="24"/>
          <w:szCs w:val="24"/>
        </w:rPr>
        <w:t xml:space="preserve">,07</w:t>
      </w:r>
      <w:r>
        <w:rPr>
          <w:sz w:val="24"/>
          <w:szCs w:val="24"/>
        </w:rPr>
        <w:t xml:space="preserve"> тыс. рублей или на </w:t>
      </w:r>
      <w:r>
        <w:rPr>
          <w:sz w:val="24"/>
          <w:szCs w:val="24"/>
        </w:rPr>
        <w:t xml:space="preserve">41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0100 «Общегосударственные вопросы»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99</w:t>
      </w:r>
      <w:r>
        <w:rPr>
          <w:rFonts w:ascii="Times New Roman" w:hAnsi="Times New Roman"/>
          <w:sz w:val="24"/>
          <w:szCs w:val="24"/>
        </w:rPr>
        <w:t xml:space="preserve">,20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, при годовом плане  3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513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97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3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485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95</w:t>
      </w:r>
      <w:r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 xml:space="preserve">ыс. рублей</w:t>
      </w:r>
      <w:r>
        <w:rPr>
          <w:rFonts w:ascii="Times New Roman" w:hAnsi="Times New Roman"/>
          <w:sz w:val="24"/>
          <w:szCs w:val="24"/>
        </w:rPr>
        <w:t xml:space="preserve">, в том числе </w:t>
      </w:r>
      <w:r>
        <w:rPr>
          <w:rFonts w:ascii="Times New Roman" w:hAnsi="Times New Roman"/>
          <w:sz w:val="24"/>
          <w:szCs w:val="24"/>
        </w:rPr>
        <w:t xml:space="preserve">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0102 «Функционирование высшего должностного лица субъекта Российской Федерации и муниципального образования»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1 028,28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100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 на содержание Главы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Элисенваарское сельское поселение.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064</w:t>
      </w:r>
      <w:r>
        <w:rPr>
          <w:rFonts w:ascii="Times New Roman" w:hAnsi="Times New Roman"/>
          <w:sz w:val="24"/>
          <w:szCs w:val="24"/>
        </w:rPr>
        <w:t xml:space="preserve">,81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98</w:t>
      </w:r>
      <w:r>
        <w:rPr>
          <w:rFonts w:ascii="Times New Roman" w:hAnsi="Times New Roman"/>
          <w:sz w:val="24"/>
          <w:szCs w:val="24"/>
        </w:rPr>
        <w:t xml:space="preserve">,66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данному подразделу произведено финансовое обеспечение следующих расходов: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текущее содержание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Элисенваарское</w:t>
      </w:r>
      <w:r>
        <w:rPr>
          <w:rFonts w:ascii="Times New Roman" w:hAnsi="Times New Roman"/>
          <w:sz w:val="24"/>
          <w:szCs w:val="24"/>
        </w:rPr>
        <w:t xml:space="preserve"> сельское поселение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1 951</w:t>
      </w:r>
      <w:r>
        <w:rPr>
          <w:rFonts w:ascii="Times New Roman" w:hAnsi="Times New Roman"/>
          <w:sz w:val="24"/>
          <w:szCs w:val="24"/>
        </w:rPr>
        <w:t xml:space="preserve">,61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создание и обеспечение деятельности административных комиссий - 2,0 тыс. рублей</w:t>
      </w:r>
      <w:r>
        <w:rPr>
          <w:rFonts w:ascii="Times New Roman" w:hAnsi="Times New Roman"/>
          <w:sz w:val="24"/>
          <w:szCs w:val="24"/>
        </w:rPr>
        <w:t xml:space="preserve">;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осуществление части полномочий Лахденпохского муниципального района по решению вопросов местного значения (п.п. 6 статьи 14 Федерального закона № 131-ФЗ)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заключенным Соглашением - 111</w:t>
      </w:r>
      <w:r>
        <w:rPr>
          <w:rFonts w:ascii="Times New Roman" w:hAnsi="Times New Roman"/>
          <w:color w:val="000000"/>
          <w:sz w:val="24"/>
          <w:szCs w:val="24"/>
        </w:rPr>
        <w:t xml:space="preserve">,20 тыс.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0107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Обеспечение проведения выборов и референдумов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355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04 тыс. рублей</w:t>
      </w:r>
      <w:r>
        <w:rPr>
          <w:rFonts w:ascii="Times New Roman" w:hAnsi="Times New Roman"/>
          <w:sz w:val="24"/>
          <w:szCs w:val="24"/>
        </w:rPr>
        <w:t xml:space="preserve"> или 100,00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/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</w:t>
      </w:r>
      <w:r>
        <w:rPr>
          <w:rFonts w:ascii="Times New Roman" w:hAnsi="Times New Roman"/>
          <w:sz w:val="24"/>
          <w:szCs w:val="24"/>
        </w:rPr>
        <w:t xml:space="preserve">13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Другие общегосударственные вопросы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37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82 тыс. рублей</w:t>
      </w:r>
      <w:r>
        <w:rPr>
          <w:rFonts w:ascii="Times New Roman" w:hAnsi="Times New Roman"/>
          <w:sz w:val="24"/>
          <w:szCs w:val="24"/>
        </w:rPr>
        <w:t xml:space="preserve"> или 100,00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0200 «Национальная оборона»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100,0</w:t>
      </w:r>
      <w:r>
        <w:rPr>
          <w:rFonts w:ascii="Times New Roman" w:hAnsi="Times New Roman"/>
          <w:sz w:val="24"/>
          <w:szCs w:val="24"/>
        </w:rPr>
        <w:t xml:space="preserve"> процентов,</w:t>
      </w:r>
      <w:r>
        <w:rPr>
          <w:rFonts w:ascii="Times New Roman" w:hAnsi="Times New Roman"/>
          <w:sz w:val="24"/>
          <w:szCs w:val="24"/>
        </w:rPr>
        <w:t xml:space="preserve"> при годовом плане </w:t>
      </w:r>
      <w:r>
        <w:rPr>
          <w:rFonts w:ascii="Times New Roman" w:hAnsi="Times New Roman"/>
          <w:sz w:val="24"/>
          <w:szCs w:val="24"/>
        </w:rPr>
        <w:t xml:space="preserve">154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154</w:t>
      </w:r>
      <w:r>
        <w:rPr>
          <w:rFonts w:ascii="Times New Roman" w:hAnsi="Times New Roman"/>
          <w:sz w:val="24"/>
          <w:szCs w:val="24"/>
        </w:rPr>
        <w:t xml:space="preserve">,4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производились расходы по подраздел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0203 «Мобилизационная и вневойсковая подготовка»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</w:t>
      </w:r>
      <w:r>
        <w:rPr>
          <w:rFonts w:ascii="Times New Roman" w:hAnsi="Times New Roman"/>
          <w:sz w:val="24"/>
          <w:szCs w:val="24"/>
        </w:rPr>
        <w:t xml:space="preserve">существление переданных полномочий РФ по первичному воинскому учету на территории, где отсутствуют военные комиссариаты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04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Национальная экономика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94</w:t>
      </w:r>
      <w:r>
        <w:rPr>
          <w:rFonts w:ascii="Times New Roman" w:hAnsi="Times New Roman"/>
          <w:sz w:val="24"/>
          <w:szCs w:val="24"/>
        </w:rPr>
        <w:t xml:space="preserve">,08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а, при годовом плане </w:t>
      </w:r>
      <w:r>
        <w:rPr>
          <w:rFonts w:ascii="Times New Roman" w:hAnsi="Times New Roman"/>
          <w:sz w:val="24"/>
          <w:szCs w:val="24"/>
        </w:rPr>
        <w:t xml:space="preserve">885</w:t>
      </w:r>
      <w:r>
        <w:rPr>
          <w:rFonts w:ascii="Times New Roman" w:hAnsi="Times New Roman"/>
          <w:sz w:val="24"/>
          <w:szCs w:val="24"/>
        </w:rPr>
        <w:t xml:space="preserve">,65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833</w:t>
      </w:r>
      <w:r>
        <w:rPr>
          <w:rFonts w:ascii="Times New Roman" w:hAnsi="Times New Roman"/>
          <w:sz w:val="24"/>
          <w:szCs w:val="24"/>
        </w:rPr>
        <w:t xml:space="preserve">,23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0409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Дорожное хозяйство (дорожные фонды)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833,23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94</w:t>
      </w:r>
      <w:r>
        <w:rPr>
          <w:rFonts w:ascii="Times New Roman" w:hAnsi="Times New Roman"/>
          <w:sz w:val="24"/>
          <w:szCs w:val="24"/>
        </w:rPr>
        <w:t xml:space="preserve">,08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В данном подразделе расходы были произведены на текущий ремонт, грейдирование и расчистку дорог от снега -</w:t>
      </w:r>
      <w:r>
        <w:rPr>
          <w:rFonts w:ascii="Times New Roman" w:hAnsi="Times New Roman" w:cs="Times New Roman" w:eastAsia="Times New Roman"/>
          <w:sz w:val="24"/>
        </w:rPr>
        <w:t xml:space="preserve"> 734,68 т.р.; на приобретение ламп для уличного освещения на - 98,55 т.р.    </w:t>
      </w:r>
      <w:r>
        <w:rPr>
          <w:sz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Жилищно-коммунальное хозяйство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94</w:t>
      </w:r>
      <w:r>
        <w:rPr>
          <w:rFonts w:ascii="Times New Roman" w:hAnsi="Times New Roman"/>
          <w:sz w:val="24"/>
          <w:szCs w:val="24"/>
        </w:rPr>
        <w:t xml:space="preserve">,23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, при годовом плане </w:t>
      </w:r>
      <w:r>
        <w:rPr>
          <w:rFonts w:ascii="Times New Roman" w:hAnsi="Times New Roman"/>
          <w:sz w:val="24"/>
          <w:szCs w:val="24"/>
        </w:rPr>
        <w:t xml:space="preserve">165</w:t>
      </w:r>
      <w:r>
        <w:rPr>
          <w:rFonts w:ascii="Times New Roman" w:hAnsi="Times New Roman"/>
          <w:sz w:val="24"/>
          <w:szCs w:val="24"/>
        </w:rPr>
        <w:t xml:space="preserve">,12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155</w:t>
      </w:r>
      <w:r>
        <w:rPr>
          <w:rFonts w:ascii="Times New Roman" w:hAnsi="Times New Roman"/>
          <w:sz w:val="24"/>
          <w:szCs w:val="24"/>
        </w:rPr>
        <w:t xml:space="preserve">,59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050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Благоустройство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155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59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94</w:t>
      </w:r>
      <w:r>
        <w:rPr>
          <w:rFonts w:ascii="Times New Roman" w:hAnsi="Times New Roman"/>
          <w:sz w:val="24"/>
          <w:szCs w:val="24"/>
        </w:rPr>
        <w:t xml:space="preserve">,23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92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0800 «Культура, кинематография»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99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53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процент</w:t>
      </w:r>
      <w:r>
        <w:rPr>
          <w:rFonts w:ascii="Times New Roman" w:hAnsi="Times New Roman"/>
          <w:sz w:val="24"/>
          <w:szCs w:val="24"/>
        </w:rPr>
        <w:t xml:space="preserve">ов, при годовом плане </w:t>
      </w:r>
      <w:r>
        <w:rPr>
          <w:rFonts w:ascii="Times New Roman" w:hAnsi="Times New Roman"/>
          <w:sz w:val="24"/>
          <w:szCs w:val="24"/>
        </w:rPr>
        <w:t xml:space="preserve">2 </w:t>
      </w:r>
      <w:r>
        <w:rPr>
          <w:rFonts w:ascii="Times New Roman" w:hAnsi="Times New Roman"/>
          <w:sz w:val="24"/>
          <w:szCs w:val="24"/>
        </w:rPr>
        <w:t xml:space="preserve">920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 906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расходы производились по подраздел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0801 «Культура»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Финансовое обеспечение расходов производилось по следующим направлениям: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обеспечен</w:t>
      </w:r>
      <w:r>
        <w:rPr>
          <w:rFonts w:ascii="Times New Roman" w:hAnsi="Times New Roman"/>
          <w:sz w:val="24"/>
          <w:szCs w:val="24"/>
        </w:rPr>
        <w:t xml:space="preserve">ие</w:t>
      </w:r>
      <w:r>
        <w:rPr>
          <w:rFonts w:ascii="Times New Roman" w:hAnsi="Times New Roman"/>
          <w:sz w:val="24"/>
          <w:szCs w:val="24"/>
        </w:rPr>
        <w:t xml:space="preserve"> функционировани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учреждени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культуры </w:t>
      </w:r>
      <w:r>
        <w:rPr>
          <w:rFonts w:ascii="Times New Roman" w:hAnsi="Times New Roman"/>
          <w:sz w:val="24"/>
          <w:szCs w:val="24"/>
        </w:rPr>
        <w:t xml:space="preserve">муниципального казенного учреждения </w:t>
      </w:r>
      <w:r>
        <w:rPr>
          <w:rFonts w:ascii="Times New Roman" w:hAnsi="Times New Roman"/>
          <w:sz w:val="24"/>
          <w:szCs w:val="24"/>
        </w:rPr>
        <w:t xml:space="preserve">«Эстерловский культурно-</w:t>
      </w:r>
      <w:r>
        <w:rPr>
          <w:rFonts w:ascii="Times New Roman" w:hAnsi="Times New Roman"/>
          <w:sz w:val="24"/>
          <w:szCs w:val="24"/>
        </w:rPr>
        <w:t xml:space="preserve"> досуговый</w:t>
      </w:r>
      <w:r>
        <w:rPr>
          <w:rFonts w:ascii="Times New Roman" w:hAnsi="Times New Roman"/>
          <w:sz w:val="24"/>
          <w:szCs w:val="24"/>
        </w:rPr>
        <w:t xml:space="preserve"> центр» (МКУ «ЭК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Ц»)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2 906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43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КРЕДИТОРСКАЯ ЗАДОЛЖЕННОСТЬ И </w:t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ДОЛГОВЫЕ ОБЯЗАТЕЛЬСТВА.</w:t>
      </w: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Элисенваарского сельского поселения за счет контроля принятия бюджетных обязательств обеспечены качественные показатели, не обременившие бюджет поселения долговыми обязательствами, включаемыми в муниципальную долговую книгу.</w:t>
      </w:r>
      <w:r>
        <w:rPr>
          <w:sz w:val="24"/>
          <w:szCs w:val="24"/>
        </w:rPr>
        <w:t xml:space="preserve"> По состоянию на 01.01.2023</w:t>
      </w:r>
      <w:r>
        <w:rPr>
          <w:sz w:val="24"/>
          <w:szCs w:val="24"/>
        </w:rPr>
        <w:t xml:space="preserve"> г. муниципальный долг Элисенваарского сельского поселения отсутствует.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Кредиторская задолженность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Администрации Элисенваарского сельского поселения увеличилась</w:t>
      </w:r>
      <w:r>
        <w:rPr>
          <w:sz w:val="24"/>
          <w:szCs w:val="24"/>
        </w:rPr>
        <w:t xml:space="preserve"> на 13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36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и составила </w:t>
      </w:r>
      <w:r>
        <w:rPr>
          <w:sz w:val="24"/>
          <w:szCs w:val="24"/>
        </w:rPr>
        <w:t xml:space="preserve">по состоянию на 01 января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г. </w:t>
      </w:r>
      <w:r>
        <w:rPr>
          <w:sz w:val="24"/>
          <w:szCs w:val="24"/>
        </w:rPr>
        <w:t xml:space="preserve">24,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тыс. рублей,</w:t>
      </w:r>
      <w:r>
        <w:rPr>
          <w:sz w:val="24"/>
          <w:szCs w:val="24"/>
        </w:rPr>
        <w:t xml:space="preserve"> просроченная кредиторская задолженность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отсутствует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(Приложение 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ДЕФИЦИТ (</w:t>
      </w:r>
      <w:r>
        <w:rPr>
          <w:b/>
          <w:sz w:val="24"/>
          <w:szCs w:val="24"/>
        </w:rPr>
        <w:t xml:space="preserve">ПРОФИЦИТ</w:t>
      </w:r>
      <w:r>
        <w:rPr>
          <w:b/>
          <w:sz w:val="24"/>
          <w:szCs w:val="24"/>
        </w:rPr>
        <w:t xml:space="preserve">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</w:t>
      </w:r>
      <w:r>
        <w:rPr>
          <w:b/>
          <w:sz w:val="24"/>
          <w:szCs w:val="24"/>
        </w:rPr>
        <w:t xml:space="preserve">ЮДЖЕТА</w:t>
      </w: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Бюджет Элисенваарского сельского поселения за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 исполнен с </w:t>
      </w:r>
      <w:r>
        <w:rPr>
          <w:sz w:val="24"/>
          <w:szCs w:val="24"/>
        </w:rPr>
        <w:t xml:space="preserve">профицитом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 xml:space="preserve">224</w:t>
      </w:r>
      <w:r>
        <w:rPr>
          <w:sz w:val="24"/>
          <w:szCs w:val="24"/>
        </w:rPr>
        <w:t xml:space="preserve">,69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Для финансирования дефицита бюджета в течении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года источники внутреннего финансирования не привлекались. 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Все обязательные требования Б</w:t>
      </w:r>
      <w:r>
        <w:rPr>
          <w:sz w:val="24"/>
          <w:szCs w:val="24"/>
        </w:rPr>
        <w:t xml:space="preserve">юджетного кодекса Российской Федерации, ограничивающие параметры бюджета, как при формировании, так и при исполнении решения Совета «О бюджете Элисенваарского сельского поселения на </w:t>
      </w:r>
      <w:r>
        <w:rPr>
          <w:sz w:val="24"/>
          <w:szCs w:val="24"/>
        </w:rPr>
        <w:t xml:space="preserve">2022</w:t>
      </w:r>
      <w:r>
        <w:rPr>
          <w:sz w:val="24"/>
          <w:szCs w:val="24"/>
        </w:rPr>
        <w:t xml:space="preserve"> год» были обеспечены в полном объеме.</w:t>
      </w:r>
      <w:r>
        <w:rPr>
          <w:sz w:val="24"/>
          <w:szCs w:val="24"/>
        </w:rPr>
      </w:r>
      <w:r/>
    </w:p>
    <w:p>
      <w:pPr>
        <w:pStyle w:val="576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sectPr>
      <w:footnotePr/>
      <w:type w:val="nextPage"/>
      <w:pgSz w:w="11906" w:h="16838" w:orient="portrait"/>
      <w:pgMar w:top="851" w:right="851" w:bottom="851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76"/>
        <w:ind w:left="1080" w:hanging="360"/>
        <w:tabs>
          <w:tab w:val="left" w:pos="108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76"/>
        <w:ind w:left="1815" w:hanging="1095"/>
        <w:tabs>
          <w:tab w:val="left" w:pos="18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  <w:tabs>
          <w:tab w:val="left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  <w:tabs>
          <w:tab w:val="left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  <w:tabs>
          <w:tab w:val="left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  <w:tabs>
          <w:tab w:val="left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  <w:tabs>
          <w:tab w:val="left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  <w:tabs>
          <w:tab w:val="left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  <w:tabs>
          <w:tab w:val="left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  <w:tabs>
          <w:tab w:val="left" w:pos="6840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576"/>
        <w:ind w:left="2160" w:hanging="720"/>
        <w:tabs>
          <w:tab w:val="left" w:pos="21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>
    <w:name w:val="Heading 1"/>
    <w:link w:val="40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5">
    <w:name w:val="Heading 1 Char"/>
    <w:link w:val="404"/>
    <w:uiPriority w:val="9"/>
    <w:rPr>
      <w:rFonts w:ascii="Arial" w:hAnsi="Arial" w:cs="Arial" w:eastAsia="Arial"/>
      <w:sz w:val="40"/>
      <w:szCs w:val="40"/>
    </w:rPr>
  </w:style>
  <w:style w:type="paragraph" w:styleId="406">
    <w:name w:val="Heading 2"/>
    <w:link w:val="40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7">
    <w:name w:val="Heading 2 Char"/>
    <w:link w:val="406"/>
    <w:uiPriority w:val="9"/>
    <w:rPr>
      <w:rFonts w:ascii="Arial" w:hAnsi="Arial" w:cs="Arial" w:eastAsia="Arial"/>
      <w:sz w:val="34"/>
    </w:rPr>
  </w:style>
  <w:style w:type="paragraph" w:styleId="408">
    <w:name w:val="Heading 3"/>
    <w:link w:val="40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9">
    <w:name w:val="Heading 3 Char"/>
    <w:link w:val="408"/>
    <w:uiPriority w:val="9"/>
    <w:rPr>
      <w:rFonts w:ascii="Arial" w:hAnsi="Arial" w:cs="Arial" w:eastAsia="Arial"/>
      <w:sz w:val="30"/>
      <w:szCs w:val="30"/>
    </w:rPr>
  </w:style>
  <w:style w:type="paragraph" w:styleId="410">
    <w:name w:val="Heading 4"/>
    <w:link w:val="41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1">
    <w:name w:val="Heading 4 Char"/>
    <w:link w:val="410"/>
    <w:uiPriority w:val="9"/>
    <w:rPr>
      <w:rFonts w:ascii="Arial" w:hAnsi="Arial" w:cs="Arial" w:eastAsia="Arial"/>
      <w:b/>
      <w:bCs/>
      <w:sz w:val="26"/>
      <w:szCs w:val="26"/>
    </w:rPr>
  </w:style>
  <w:style w:type="paragraph" w:styleId="412">
    <w:name w:val="Heading 5"/>
    <w:link w:val="41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3">
    <w:name w:val="Heading 5 Char"/>
    <w:link w:val="412"/>
    <w:uiPriority w:val="9"/>
    <w:rPr>
      <w:rFonts w:ascii="Arial" w:hAnsi="Arial" w:cs="Arial" w:eastAsia="Arial"/>
      <w:b/>
      <w:bCs/>
      <w:sz w:val="24"/>
      <w:szCs w:val="24"/>
    </w:rPr>
  </w:style>
  <w:style w:type="paragraph" w:styleId="414">
    <w:name w:val="Heading 6"/>
    <w:link w:val="41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5">
    <w:name w:val="Heading 6 Char"/>
    <w:link w:val="414"/>
    <w:uiPriority w:val="9"/>
    <w:rPr>
      <w:rFonts w:ascii="Arial" w:hAnsi="Arial" w:cs="Arial" w:eastAsia="Arial"/>
      <w:b/>
      <w:bCs/>
      <w:sz w:val="22"/>
      <w:szCs w:val="22"/>
    </w:rPr>
  </w:style>
  <w:style w:type="paragraph" w:styleId="416">
    <w:name w:val="Heading 7"/>
    <w:link w:val="41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7">
    <w:name w:val="Heading 7 Char"/>
    <w:link w:val="4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8">
    <w:name w:val="Heading 8"/>
    <w:link w:val="41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9">
    <w:name w:val="Heading 8 Char"/>
    <w:link w:val="418"/>
    <w:uiPriority w:val="9"/>
    <w:rPr>
      <w:rFonts w:ascii="Arial" w:hAnsi="Arial" w:cs="Arial" w:eastAsia="Arial"/>
      <w:i/>
      <w:iCs/>
      <w:sz w:val="22"/>
      <w:szCs w:val="22"/>
    </w:rPr>
  </w:style>
  <w:style w:type="paragraph" w:styleId="420">
    <w:name w:val="Heading 9"/>
    <w:link w:val="4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1">
    <w:name w:val="Heading 9 Char"/>
    <w:link w:val="420"/>
    <w:uiPriority w:val="9"/>
    <w:rPr>
      <w:rFonts w:ascii="Arial" w:hAnsi="Arial" w:cs="Arial" w:eastAsia="Arial"/>
      <w:i/>
      <w:iCs/>
      <w:sz w:val="21"/>
      <w:szCs w:val="21"/>
    </w:rPr>
  </w:style>
  <w:style w:type="paragraph" w:styleId="422">
    <w:name w:val="List Paragraph"/>
    <w:qFormat/>
    <w:uiPriority w:val="34"/>
    <w:pPr>
      <w:contextualSpacing w:val="true"/>
      <w:ind w:left="720"/>
    </w:pPr>
  </w:style>
  <w:style w:type="paragraph" w:styleId="423">
    <w:name w:val="No Spacing"/>
    <w:qFormat/>
    <w:uiPriority w:val="1"/>
    <w:pPr>
      <w:spacing w:lineRule="auto" w:line="240" w:after="0" w:before="0"/>
    </w:pPr>
  </w:style>
  <w:style w:type="paragraph" w:styleId="424">
    <w:name w:val="Title"/>
    <w:link w:val="4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5">
    <w:name w:val="Title Char"/>
    <w:link w:val="424"/>
    <w:uiPriority w:val="10"/>
    <w:rPr>
      <w:sz w:val="48"/>
      <w:szCs w:val="48"/>
    </w:rPr>
  </w:style>
  <w:style w:type="paragraph" w:styleId="426">
    <w:name w:val="Subtitle"/>
    <w:link w:val="427"/>
    <w:qFormat/>
    <w:uiPriority w:val="11"/>
    <w:rPr>
      <w:sz w:val="24"/>
      <w:szCs w:val="24"/>
    </w:rPr>
    <w:pPr>
      <w:spacing w:after="200" w:before="200"/>
    </w:pPr>
  </w:style>
  <w:style w:type="character" w:styleId="427">
    <w:name w:val="Subtitle Char"/>
    <w:link w:val="426"/>
    <w:uiPriority w:val="11"/>
    <w:rPr>
      <w:sz w:val="24"/>
      <w:szCs w:val="24"/>
    </w:rPr>
  </w:style>
  <w:style w:type="paragraph" w:styleId="428">
    <w:name w:val="Quote"/>
    <w:link w:val="429"/>
    <w:qFormat/>
    <w:uiPriority w:val="29"/>
    <w:rPr>
      <w:i/>
    </w:rPr>
    <w:pPr>
      <w:ind w:left="720" w:right="720"/>
    </w:pPr>
  </w:style>
  <w:style w:type="character" w:styleId="429">
    <w:name w:val="Quote Char"/>
    <w:link w:val="428"/>
    <w:uiPriority w:val="29"/>
    <w:rPr>
      <w:i/>
    </w:rPr>
  </w:style>
  <w:style w:type="paragraph" w:styleId="430">
    <w:name w:val="Intense Quote"/>
    <w:link w:val="43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1">
    <w:name w:val="Intense Quote Char"/>
    <w:link w:val="430"/>
    <w:uiPriority w:val="30"/>
    <w:rPr>
      <w:i/>
    </w:rPr>
  </w:style>
  <w:style w:type="paragraph" w:styleId="432">
    <w:name w:val="Head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Header Char"/>
    <w:link w:val="432"/>
    <w:uiPriority w:val="99"/>
  </w:style>
  <w:style w:type="paragraph" w:styleId="434">
    <w:name w:val="Footer"/>
    <w:link w:val="4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5">
    <w:name w:val="Footer Char"/>
    <w:link w:val="434"/>
    <w:uiPriority w:val="99"/>
  </w:style>
  <w:style w:type="table" w:styleId="4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2">
    <w:name w:val="Hyperlink"/>
    <w:uiPriority w:val="99"/>
    <w:unhideWhenUsed/>
    <w:rPr>
      <w:color w:val="0000FF" w:themeColor="hyperlink"/>
      <w:u w:val="single"/>
    </w:rPr>
  </w:style>
  <w:style w:type="paragraph" w:styleId="563">
    <w:name w:val="footnote text"/>
    <w:link w:val="564"/>
    <w:uiPriority w:val="99"/>
    <w:semiHidden/>
    <w:unhideWhenUsed/>
    <w:rPr>
      <w:sz w:val="18"/>
    </w:rPr>
    <w:pPr>
      <w:spacing w:lineRule="auto" w:line="240" w:after="40"/>
    </w:pPr>
  </w:style>
  <w:style w:type="character" w:styleId="564">
    <w:name w:val="Footnote Text Char"/>
    <w:link w:val="563"/>
    <w:uiPriority w:val="99"/>
    <w:rPr>
      <w:sz w:val="18"/>
    </w:rPr>
  </w:style>
  <w:style w:type="character" w:styleId="565">
    <w:name w:val="footnote reference"/>
    <w:uiPriority w:val="99"/>
    <w:unhideWhenUsed/>
    <w:rPr>
      <w:vertAlign w:val="superscript"/>
    </w:rPr>
  </w:style>
  <w:style w:type="paragraph" w:styleId="566">
    <w:name w:val="toc 1"/>
    <w:uiPriority w:val="39"/>
    <w:unhideWhenUsed/>
    <w:pPr>
      <w:ind w:left="0" w:right="0" w:firstLine="0"/>
      <w:spacing w:after="57"/>
    </w:pPr>
  </w:style>
  <w:style w:type="paragraph" w:styleId="567">
    <w:name w:val="toc 2"/>
    <w:uiPriority w:val="39"/>
    <w:unhideWhenUsed/>
    <w:pPr>
      <w:ind w:left="283" w:right="0" w:firstLine="0"/>
      <w:spacing w:after="57"/>
    </w:pPr>
  </w:style>
  <w:style w:type="paragraph" w:styleId="568">
    <w:name w:val="toc 3"/>
    <w:uiPriority w:val="39"/>
    <w:unhideWhenUsed/>
    <w:pPr>
      <w:ind w:left="567" w:right="0" w:firstLine="0"/>
      <w:spacing w:after="57"/>
    </w:pPr>
  </w:style>
  <w:style w:type="paragraph" w:styleId="569">
    <w:name w:val="toc 4"/>
    <w:uiPriority w:val="39"/>
    <w:unhideWhenUsed/>
    <w:pPr>
      <w:ind w:left="850" w:right="0" w:firstLine="0"/>
      <w:spacing w:after="57"/>
    </w:pPr>
  </w:style>
  <w:style w:type="paragraph" w:styleId="570">
    <w:name w:val="toc 5"/>
    <w:uiPriority w:val="39"/>
    <w:unhideWhenUsed/>
    <w:pPr>
      <w:ind w:left="1134" w:right="0" w:firstLine="0"/>
      <w:spacing w:after="57"/>
    </w:pPr>
  </w:style>
  <w:style w:type="paragraph" w:styleId="571">
    <w:name w:val="toc 6"/>
    <w:uiPriority w:val="39"/>
    <w:unhideWhenUsed/>
    <w:pPr>
      <w:ind w:left="1417" w:right="0" w:firstLine="0"/>
      <w:spacing w:after="57"/>
    </w:pPr>
  </w:style>
  <w:style w:type="paragraph" w:styleId="572">
    <w:name w:val="toc 7"/>
    <w:uiPriority w:val="39"/>
    <w:unhideWhenUsed/>
    <w:pPr>
      <w:ind w:left="1701" w:right="0" w:firstLine="0"/>
      <w:spacing w:after="57"/>
    </w:pPr>
  </w:style>
  <w:style w:type="paragraph" w:styleId="573">
    <w:name w:val="toc 8"/>
    <w:uiPriority w:val="39"/>
    <w:unhideWhenUsed/>
    <w:pPr>
      <w:ind w:left="1984" w:right="0" w:firstLine="0"/>
      <w:spacing w:after="57"/>
    </w:pPr>
  </w:style>
  <w:style w:type="paragraph" w:styleId="574">
    <w:name w:val="toc 9"/>
    <w:uiPriority w:val="39"/>
    <w:unhideWhenUsed/>
    <w:pPr>
      <w:ind w:left="2268" w:right="0" w:firstLine="0"/>
      <w:spacing w:after="57"/>
    </w:pPr>
  </w:style>
  <w:style w:type="paragraph" w:styleId="575">
    <w:name w:val="TOC Heading"/>
    <w:uiPriority w:val="39"/>
    <w:unhideWhenUsed/>
  </w:style>
  <w:style w:type="paragraph" w:styleId="576">
    <w:name w:val="Обычный"/>
    <w:next w:val="576"/>
    <w:link w:val="576"/>
    <w:rPr>
      <w:lang w:val="ru-RU" w:bidi="ar-SA" w:eastAsia="ru-RU"/>
    </w:rPr>
  </w:style>
  <w:style w:type="paragraph" w:styleId="577">
    <w:name w:val="Заголовок 1"/>
    <w:basedOn w:val="576"/>
    <w:next w:val="576"/>
    <w:link w:val="576"/>
    <w:rPr>
      <w:rFonts w:ascii="Arial" w:hAnsi="Arial"/>
      <w:sz w:val="24"/>
      <w:lang w:val="en-US"/>
    </w:rPr>
    <w:pPr>
      <w:jc w:val="both"/>
      <w:keepNext/>
      <w:outlineLvl w:val="0"/>
    </w:pPr>
  </w:style>
  <w:style w:type="paragraph" w:styleId="578">
    <w:name w:val="Заголовок 2"/>
    <w:basedOn w:val="576"/>
    <w:next w:val="576"/>
    <w:link w:val="576"/>
    <w:rPr>
      <w:rFonts w:ascii="Arial" w:hAnsi="Arial"/>
      <w:sz w:val="24"/>
    </w:rPr>
    <w:pPr>
      <w:keepNext/>
      <w:outlineLvl w:val="1"/>
    </w:pPr>
  </w:style>
  <w:style w:type="paragraph" w:styleId="579">
    <w:name w:val="Заголовок 3"/>
    <w:basedOn w:val="576"/>
    <w:next w:val="576"/>
    <w:link w:val="576"/>
    <w:rPr>
      <w:rFonts w:ascii="Arial" w:hAnsi="Arial"/>
      <w:b/>
      <w:sz w:val="24"/>
    </w:rPr>
    <w:pPr>
      <w:ind w:left="4320" w:firstLine="720"/>
      <w:jc w:val="both"/>
      <w:keepNext/>
      <w:outlineLvl w:val="2"/>
    </w:pPr>
  </w:style>
  <w:style w:type="paragraph" w:styleId="580">
    <w:name w:val="Заголовок 4"/>
    <w:basedOn w:val="576"/>
    <w:next w:val="576"/>
    <w:link w:val="576"/>
    <w:rPr>
      <w:rFonts w:ascii="Arial" w:hAnsi="Arial"/>
      <w:sz w:val="24"/>
      <w:u w:val="single"/>
    </w:rPr>
    <w:pPr>
      <w:ind w:firstLine="720"/>
      <w:jc w:val="both"/>
      <w:keepNext/>
      <w:outlineLvl w:val="3"/>
    </w:pPr>
  </w:style>
  <w:style w:type="character" w:styleId="581">
    <w:name w:val="Основной шрифт абзаца, Знак Знак Знак Знак Знак Знак Знак Знак Знак Знак Знак Знак Знак Знак Знак"/>
    <w:next w:val="581"/>
    <w:link w:val="576"/>
    <w:semiHidden/>
  </w:style>
  <w:style w:type="table" w:styleId="582">
    <w:name w:val="Обычная таблица"/>
    <w:next w:val="582"/>
    <w:link w:val="576"/>
    <w:semiHidden/>
    <w:tblPr/>
  </w:style>
  <w:style w:type="numbering" w:styleId="583">
    <w:name w:val="Нет списка"/>
    <w:next w:val="583"/>
    <w:link w:val="576"/>
    <w:semiHidden/>
  </w:style>
  <w:style w:type="paragraph" w:styleId="584">
    <w:name w:val="Основной текст"/>
    <w:basedOn w:val="576"/>
    <w:next w:val="584"/>
    <w:link w:val="576"/>
    <w:rPr>
      <w:rFonts w:ascii="Arial" w:hAnsi="Arial"/>
      <w:sz w:val="24"/>
    </w:rPr>
    <w:pPr>
      <w:jc w:val="center"/>
    </w:pPr>
  </w:style>
  <w:style w:type="paragraph" w:styleId="585">
    <w:name w:val="Основной текст 2"/>
    <w:basedOn w:val="576"/>
    <w:next w:val="585"/>
    <w:link w:val="576"/>
    <w:rPr>
      <w:rFonts w:ascii="Arial" w:hAnsi="Arial"/>
      <w:sz w:val="24"/>
    </w:rPr>
    <w:pPr>
      <w:jc w:val="both"/>
    </w:pPr>
  </w:style>
  <w:style w:type="table" w:styleId="586">
    <w:name w:val="Сетка таблицы"/>
    <w:basedOn w:val="582"/>
    <w:next w:val="586"/>
    <w:link w:val="576"/>
    <w:tblPr/>
  </w:style>
  <w:style w:type="paragraph" w:styleId="587">
    <w:name w:val=" Знак Знак Знак Знак Знак Знак Знак Знак Знак Знак Знак Знак Знак Знак"/>
    <w:basedOn w:val="576"/>
    <w:next w:val="587"/>
    <w:link w:val="576"/>
    <w:rPr>
      <w:rFonts w:ascii="Verdana" w:hAnsi="Verdana"/>
      <w:lang w:val="en-US" w:eastAsia="en-US"/>
    </w:rPr>
  </w:style>
  <w:style w:type="paragraph" w:styleId="588">
    <w:name w:val="ConsPlusNormal"/>
    <w:next w:val="588"/>
    <w:link w:val="576"/>
    <w:rPr>
      <w:rFonts w:ascii="Arial" w:hAnsi="Arial"/>
      <w:lang w:val="ru-RU" w:bidi="ar-SA" w:eastAsia="ru-RU"/>
    </w:rPr>
    <w:pPr>
      <w:ind w:firstLine="720"/>
    </w:pPr>
  </w:style>
  <w:style w:type="paragraph" w:styleId="589">
    <w:name w:val=" Знак Знак Знак Знак Знак Знак Знак Знак Знак Знак Знак"/>
    <w:basedOn w:val="576"/>
    <w:next w:val="589"/>
    <w:link w:val="576"/>
    <w:rPr>
      <w:rFonts w:ascii="Verdana" w:hAnsi="Verdana"/>
      <w:lang w:val="en-US" w:eastAsia="en-US"/>
    </w:rPr>
  </w:style>
  <w:style w:type="paragraph" w:styleId="590">
    <w:name w:val="Текст выноски"/>
    <w:basedOn w:val="576"/>
    <w:next w:val="590"/>
    <w:link w:val="591"/>
    <w:semiHidden/>
    <w:rPr>
      <w:rFonts w:ascii="Tahoma" w:hAnsi="Tahoma"/>
      <w:sz w:val="16"/>
      <w:szCs w:val="16"/>
      <w:lang w:val="en-US" w:eastAsia="en-US"/>
    </w:rPr>
  </w:style>
  <w:style w:type="character" w:styleId="591">
    <w:name w:val="Текст выноски Знак"/>
    <w:next w:val="591"/>
    <w:link w:val="590"/>
    <w:semiHidden/>
    <w:rPr>
      <w:rFonts w:ascii="Tahoma" w:hAnsi="Tahoma"/>
      <w:sz w:val="16"/>
      <w:szCs w:val="16"/>
    </w:rPr>
  </w:style>
  <w:style w:type="paragraph" w:styleId="592">
    <w:name w:val="Без интервала"/>
    <w:next w:val="592"/>
    <w:link w:val="593"/>
    <w:rPr>
      <w:rFonts w:ascii="Calibri" w:hAnsi="Calibri"/>
      <w:sz w:val="22"/>
      <w:szCs w:val="22"/>
      <w:lang w:val="ru-RU" w:bidi="ar-SA" w:eastAsia="ru-RU"/>
    </w:rPr>
  </w:style>
  <w:style w:type="character" w:styleId="593">
    <w:name w:val="Без интервала Знак"/>
    <w:next w:val="593"/>
    <w:link w:val="592"/>
    <w:rPr>
      <w:rFonts w:ascii="Calibri" w:hAnsi="Calibri"/>
      <w:sz w:val="22"/>
      <w:szCs w:val="22"/>
      <w:lang w:bidi="ar-SA"/>
    </w:rPr>
  </w:style>
  <w:style w:type="character" w:styleId="594" w:default="1">
    <w:name w:val="Default Paragraph Font"/>
    <w:uiPriority w:val="1"/>
    <w:semiHidden/>
    <w:unhideWhenUsed/>
  </w:style>
  <w:style w:type="numbering" w:styleId="595" w:default="1">
    <w:name w:val="No List"/>
    <w:uiPriority w:val="99"/>
    <w:semiHidden/>
    <w:unhideWhenUsed/>
  </w:style>
  <w:style w:type="paragraph" w:styleId="596" w:default="1">
    <w:name w:val="Normal"/>
    <w:qFormat/>
  </w:style>
  <w:style w:type="table" w:styleId="5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2023-05-12T16:01:02Z</dcterms:modified>
</cp:coreProperties>
</file>